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keepNext w:val="0"/>
        <w:keepLines w:val="0"/>
        <w:widowControl/>
        <w:suppressLineNumbers w:val="0"/>
        <w:spacing w:before="454" w:beforeAutospacing="0" w:after="454" w:afterAutospacing="0"/>
        <w:ind w:left="454" w:right="454"/>
        <w:jc w:val="center"/>
        <w:outlineLvl w:val="0"/>
        <w:rPr>
          <w:sz w:val="40"/>
          <w:szCs w:val="40"/>
        </w:rPr>
      </w:pPr>
      <w:bookmarkStart w:id="0" w:name="_Hlk71456902"/>
      <w:r>
        <w:rPr>
          <w:sz w:val="40"/>
          <w:szCs w:val="40"/>
        </w:rPr>
        <w:t>坪山区妇幼保健院住院综合楼医疗设备购置项目27包</w:t>
      </w:r>
    </w:p>
    <w:p>
      <w:pPr>
        <w:pStyle w:val="38"/>
        <w:keepNext w:val="0"/>
        <w:keepLines w:val="0"/>
        <w:widowControl/>
        <w:suppressLineNumbers w:val="0"/>
        <w:jc w:val="center"/>
        <w:outlineLvl w:val="1"/>
        <w:rPr>
          <w:rFonts w:ascii="黑体" w:hAnsi="宋体" w:eastAsia="黑体" w:cs="黑体"/>
          <w:sz w:val="40"/>
          <w:szCs w:val="40"/>
        </w:rPr>
      </w:pPr>
      <w:r>
        <w:rPr>
          <w:rFonts w:hint="eastAsia" w:ascii="黑体" w:hAnsi="宋体" w:eastAsia="黑体" w:cs="黑体"/>
          <w:sz w:val="40"/>
          <w:szCs w:val="40"/>
          <w:bdr w:val="none" w:color="auto" w:sz="0" w:space="0"/>
        </w:rPr>
        <w:t>招标文件信息</w:t>
      </w:r>
    </w:p>
    <w:tbl>
      <w:tblPr>
        <w:tblW w:w="7943"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2723"/>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2723" w:type="dxa"/>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项目编号：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PSJY2021170899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项目名称：</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坪山区妇幼保健院住院综合楼医疗设备购置项目27包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包 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采购方式：</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货币类型：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评标方法：</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综合评分法（新价格分算法）</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资格性审查表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投标人不符合资格要求，或未提交相应的资格证明资料（详见招标公告投标人资格要求，即申请人的资格要求）</w:t>
            </w:r>
          </w:p>
        </w:tc>
      </w:tr>
    </w:tbl>
    <w:p>
      <w:pPr>
        <w:pStyle w:val="38"/>
        <w:keepNext w:val="0"/>
        <w:keepLines w:val="0"/>
        <w:widowControl/>
        <w:suppressLineNumbers w:val="0"/>
        <w:spacing w:before="280" w:beforeAutospacing="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符合性审查表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分项报价或投标总价高于相应财政预算金额（或设定的财政预算金额下的最高限价）；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所投货物、服务在技术、商务等方面没有实质性满足招标文件要求的（是否实质性满足招标文件要求，由评审委员会根据《实质性条款响应情况表》做出评判）；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未按招标文件所提供的样式填写《投标函》；未按招标文件所提供的《政府采购投标及履约承诺函》进行承诺；未按招标文件对投标文件组成的要求提供投标文件；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投标报价有缺漏项目,或者对招标文件规定的项目需求内容或者需求数量进行修改，评审委员会判定投标响应不满足采购需求；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法律、法规、规章、规范性文件规定的其他情形。</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评标信息</w:t>
      </w:r>
    </w:p>
    <w:tbl>
      <w:tblPr>
        <w:tblW w:w="9078" w:type="dxa"/>
        <w:jc w:val="center"/>
        <w:tblCellSpacing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autofit"/>
        <w:tblCellMar>
          <w:top w:w="45" w:type="dxa"/>
          <w:left w:w="45" w:type="dxa"/>
          <w:bottom w:w="45" w:type="dxa"/>
          <w:right w:w="45" w:type="dxa"/>
        </w:tblCellMar>
      </w:tblPr>
      <w:tblGrid>
        <w:gridCol w:w="8860"/>
        <w:gridCol w:w="21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suppressLineNumbers w:val="0"/>
              <w:jc w:val="left"/>
              <w:rPr>
                <w:b/>
                <w:sz w:val="24"/>
                <w:szCs w:val="24"/>
              </w:rPr>
            </w:pPr>
            <w:r>
              <w:rPr>
                <w:rFonts w:ascii="宋体" w:hAnsi="宋体" w:eastAsia="宋体" w:cs="宋体"/>
                <w:b/>
                <w:kern w:val="0"/>
                <w:sz w:val="24"/>
                <w:szCs w:val="24"/>
                <w:bdr w:val="none" w:color="auto" w:sz="0" w:space="0"/>
                <w:lang w:val="en-US" w:eastAsia="zh-CN" w:bidi="ar"/>
              </w:rPr>
              <w:t>评标方法：综合评分法（新价格分算法）</w:t>
            </w:r>
          </w:p>
        </w:tc>
        <w:tc>
          <w:tcPr>
            <w:tcW w:w="0" w:type="auto"/>
            <w:shd w:val="clear"/>
            <w:vAlign w:val="center"/>
          </w:tcPr>
          <w:p>
            <w:pPr>
              <w:jc w:val="right"/>
              <w:rPr>
                <w:rFonts w:hint="eastAsia" w:ascii="宋体"/>
                <w:b/>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CellMar>
            <w:top w:w="45" w:type="dxa"/>
            <w:left w:w="45" w:type="dxa"/>
            <w:bottom w:w="45" w:type="dxa"/>
            <w:right w:w="45" w:type="dxa"/>
          </w:tblCellMar>
        </w:tblPrEx>
        <w:trPr>
          <w:tblCellSpacing w:w="0" w:type="dxa"/>
          <w:jc w:val="center"/>
        </w:trPr>
        <w:tc>
          <w:tcPr>
            <w:tcW w:w="0" w:type="auto"/>
            <w:gridSpan w:val="2"/>
            <w:shd w:val="clear"/>
            <w:vAlign w:val="center"/>
          </w:tcPr>
          <w:p>
            <w:pPr>
              <w:pStyle w:val="38"/>
              <w:keepNext w:val="0"/>
              <w:keepLines w:val="0"/>
              <w:widowControl/>
              <w:numPr>
                <w:numId w:val="0"/>
              </w:numPr>
              <w:suppressLineNumbers w:val="0"/>
              <w:spacing w:line="324" w:lineRule="auto"/>
              <w:ind w:left="0" w:firstLine="420"/>
              <w:rPr>
                <w:sz w:val="21"/>
                <w:szCs w:val="21"/>
              </w:rPr>
            </w:pPr>
            <w:r>
              <w:rPr>
                <w:sz w:val="21"/>
                <w:szCs w:val="21"/>
                <w:bdr w:val="none" w:color="auto" w:sz="0" w:space="0"/>
              </w:rPr>
              <w:t xml:space="preserve">综合评分法，是指投标文件满足招标文件全部实质性要求，且按照评审因素的量化指标评审得分最高的投标人为中标候选人的评标方法。 </w:t>
            </w:r>
          </w:p>
          <w:p>
            <w:pPr>
              <w:pStyle w:val="38"/>
              <w:keepNext w:val="0"/>
              <w:keepLines w:val="0"/>
              <w:widowControl/>
              <w:suppressLineNumbers w:val="0"/>
              <w:ind w:left="0" w:firstLine="420"/>
              <w:rPr>
                <w:sz w:val="21"/>
                <w:szCs w:val="21"/>
              </w:rPr>
            </w:pPr>
            <w:r>
              <w:rPr>
                <w:sz w:val="21"/>
                <w:szCs w:val="21"/>
                <w:bdr w:val="none" w:color="auto" w:sz="0" w:space="0"/>
              </w:rPr>
              <w:t>价格分计算方法：</w:t>
            </w:r>
          </w:p>
          <w:p>
            <w:pPr>
              <w:pStyle w:val="38"/>
              <w:keepNext w:val="0"/>
              <w:keepLines w:val="0"/>
              <w:widowControl/>
              <w:numPr>
                <w:numId w:val="0"/>
              </w:numPr>
              <w:suppressLineNumbers w:val="0"/>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sz w:val="24"/>
          <w:szCs w:val="24"/>
        </w:rPr>
      </w:pP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681"/>
        <w:gridCol w:w="681"/>
        <w:gridCol w:w="2837"/>
        <w:gridCol w:w="681"/>
        <w:gridCol w:w="41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sz w:val="24"/>
                <w:szCs w:val="24"/>
              </w:rPr>
            </w:pPr>
            <w:r>
              <w:rPr>
                <w:rFonts w:ascii="宋体" w:hAnsi="宋体" w:eastAsia="宋体" w:cs="宋体"/>
                <w:b/>
                <w:kern w:val="0"/>
                <w:sz w:val="24"/>
                <w:szCs w:val="24"/>
                <w:bdr w:val="none" w:color="auto" w:sz="0" w:space="0"/>
                <w:lang w:val="en-US" w:eastAsia="zh-CN" w:bidi="ar"/>
              </w:rPr>
              <w:t>序号</w:t>
            </w:r>
          </w:p>
        </w:tc>
        <w:tc>
          <w:tcPr>
            <w:tcW w:w="419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sz w:val="24"/>
                <w:szCs w:val="24"/>
              </w:rPr>
            </w:pPr>
            <w:r>
              <w:rPr>
                <w:rFonts w:ascii="宋体" w:hAnsi="宋体" w:eastAsia="宋体" w:cs="宋体"/>
                <w:b/>
                <w:kern w:val="0"/>
                <w:sz w:val="24"/>
                <w:szCs w:val="24"/>
                <w:bdr w:val="none" w:color="auto" w:sz="0" w:space="0"/>
                <w:lang w:val="en-US" w:eastAsia="zh-CN" w:bidi="ar"/>
              </w:rPr>
              <w:t>评分项</w:t>
            </w:r>
          </w:p>
        </w:tc>
        <w:tc>
          <w:tcPr>
            <w:tcW w:w="419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sz w:val="24"/>
                <w:szCs w:val="24"/>
              </w:rPr>
            </w:pPr>
            <w:r>
              <w:rPr>
                <w:rFonts w:ascii="宋体" w:hAnsi="宋体" w:eastAsia="宋体" w:cs="宋体"/>
                <w:b/>
                <w:kern w:val="0"/>
                <w:sz w:val="24"/>
                <w:szCs w:val="24"/>
                <w:bdr w:val="none" w:color="auto" w:sz="0" w:space="0"/>
                <w:lang w:val="en-US" w:eastAsia="zh-CN"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1</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价格</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8397"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2</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技术部分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技术规格偏离情况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1.评审内容：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评标委员会根据投标人所投产品性能进行评分，完全满足招标文件要求得基本分100分；在100分的基础上根据以下原则适当减分。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2.评分标准：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（1）投标人所投设备主要技术参数（标“▲”参数）每负偏离1项扣2分，一般参数每负偏离1项扣0.3分，扣完为止。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（2）未对招标文件技术参数要求进行逐条响应的，视为不满足招标文件要求，对其未响应的技术参数进行扣分。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3.证明文件：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技术规格偏离表》，标红加粗参数需要提供相关证明材料，并在投标文件中作出明显标识（标页或者划线）。投标人提供证书、检验检测报告的同时需提供证书官网、检验检测机构官网或权威机构（如“中国社会组织公共服务平台”“中国国家认证认可监督管理委员会”等）等合法查询渠道的查询记录，原件备查。相关证书或者检验检测报告在公开渠道无法查询的，需要求提供颁发部门、检验检测机构或者监管机构的证明材料，证明证书或检验检测报告真实有效且为合法机构颁发。未提供或未按要求提供相关证明材料的，则认为对应参数负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3</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商务部分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免费保修期内售后服务条款偏离情况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1.评审内容：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投标人应如实填写《商务条款偏离表》中免费保修期内售后服务要求部分，评审委员会根据响应情况进行打分。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2.评分标准：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全部满足要求的得100分，每负偏离一项扣20分，扣完为止。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免费保修期外售后服务条款偏离情况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1.评审内容：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投标人应如实填写《商务条款偏离表》中免费保修期外售后服务要求部分，评标委员会根据响应情况进行打分。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2.评分标准：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全部满足要求的得100分，每负偏离一项扣20分，扣完为止。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其他商务条款偏离情况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1.评审内容：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投标人应如实填写《商务条款偏离表》中其他商务要求部分，评标委员会根据响应情况进行打分。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 xml:space="preserve">2.评分标准：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全部满足要求的得100分，每负偏离一项扣8分，扣完为止。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4</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诚信情况</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color w:val="0000FF"/>
                <w:sz w:val="24"/>
                <w:szCs w:val="24"/>
              </w:rPr>
            </w:pPr>
            <w:r>
              <w:rPr>
                <w:rFonts w:ascii="宋体" w:hAnsi="宋体" w:eastAsia="宋体" w:cs="宋体"/>
                <w:b/>
                <w:color w:val="0000FF"/>
                <w:kern w:val="0"/>
                <w:sz w:val="24"/>
                <w:szCs w:val="24"/>
                <w:bdr w:val="none" w:color="auto" w:sz="0" w:space="0"/>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诚信</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在参与政府采购活动中存在被记入诚信档案的情形（被禁止参与政府采购活动除外）且在主管部门相关处理措施实施期限内的，本项不得分，否则得满分。投标人无需提供任何证明材料，由工作人员向评审委员会提供相关信息。</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投标书目录</w:t>
      </w:r>
    </w:p>
    <w:tbl>
      <w:tblPr>
        <w:tblW w:w="907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9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一、投标函</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二、政府采购投标及履约承诺函</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三、投标人情况及资格证明文件</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（一）投标人资格证明文件</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（二）中小企业声明函、残疾人福利性单位声明函及监狱企业声明函</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四、项目详细报价</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（一）分项报价表</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（二）核心产品品牌</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（三）可选配件报价清单（不包括在总报价内）</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（四）投标人认为需要涉及的其他内容报价清单</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五、货物说明一览表</w:t>
            </w:r>
          </w:p>
        </w:tc>
      </w:tr>
    </w:tbl>
    <w:p>
      <w:pPr>
        <w:rPr>
          <w:rFonts w:hint="eastAsia"/>
          <w:lang w:val="en-US" w:eastAsia="zh-CN"/>
        </w:rPr>
        <w:sectPr>
          <w:headerReference r:id="rId3" w:type="first"/>
          <w:footerReference r:id="rId4" w:type="default"/>
          <w:footerReference r:id="rId5" w:type="even"/>
          <w:pgSz w:w="11907" w:h="16840"/>
          <w:pgMar w:top="1440" w:right="1418" w:bottom="1440" w:left="1418" w:header="851" w:footer="992" w:gutter="0"/>
          <w:cols w:space="425" w:num="1"/>
          <w:titlePg/>
          <w:docGrid w:linePitch="462" w:charSpace="0"/>
        </w:sectPr>
      </w:pPr>
      <w:bookmarkStart w:id="148" w:name="_GoBack"/>
      <w:bookmarkEnd w:id="148"/>
    </w:p>
    <w:p>
      <w:pPr>
        <w:pStyle w:val="38"/>
        <w:widowControl/>
        <w:spacing w:before="454" w:beforeAutospacing="0" w:after="454" w:afterAutospacing="0"/>
        <w:ind w:left="454" w:right="454"/>
        <w:jc w:val="center"/>
        <w:outlineLvl w:val="0"/>
        <w:rPr>
          <w:b/>
          <w:bCs/>
          <w:sz w:val="40"/>
          <w:szCs w:val="40"/>
        </w:rPr>
      </w:pPr>
      <w:r>
        <w:rPr>
          <w:rFonts w:hint="eastAsia"/>
          <w:b/>
          <w:bCs/>
          <w:sz w:val="40"/>
          <w:szCs w:val="40"/>
          <w:lang w:val="en-US" w:eastAsia="zh-CN"/>
        </w:rPr>
        <w:t>关键信息</w:t>
      </w:r>
    </w:p>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招标文件信息</w:t>
      </w:r>
    </w:p>
    <w:bookmarkEnd w:id="0"/>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资格性审查表</w:t>
      </w:r>
    </w:p>
    <w:tbl>
      <w:tblPr>
        <w:tblStyle w:val="43"/>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lang w:bidi="ar"/>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lang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ascii="宋体" w:hAnsi="宋体" w:cs="宋体"/>
                <w:kern w:val="0"/>
                <w:szCs w:val="21"/>
                <w:lang w:bidi="ar"/>
              </w:rPr>
              <w:t>投标人不</w:t>
            </w:r>
            <w:r>
              <w:rPr>
                <w:rFonts w:hint="eastAsia" w:ascii="宋体" w:hAnsi="宋体" w:cs="宋体"/>
                <w:kern w:val="0"/>
                <w:szCs w:val="21"/>
                <w:lang w:bidi="ar"/>
              </w:rPr>
              <w:t>符合</w:t>
            </w:r>
            <w:r>
              <w:rPr>
                <w:rFonts w:ascii="宋体" w:hAnsi="宋体" w:cs="宋体"/>
                <w:kern w:val="0"/>
                <w:szCs w:val="21"/>
                <w:lang w:bidi="ar"/>
              </w:rPr>
              <w:t>资格要求，或未提交相应的资格证明资料（详见招标公告</w:t>
            </w:r>
            <w:r>
              <w:rPr>
                <w:rFonts w:hint="eastAsia" w:ascii="宋体" w:hAnsi="宋体"/>
                <w:szCs w:val="21"/>
              </w:rPr>
              <w:t>投标人资格要求，即申请人的资格要求</w:t>
            </w:r>
            <w:r>
              <w:rPr>
                <w:rFonts w:ascii="宋体" w:hAnsi="宋体" w:cs="宋体"/>
                <w:kern w:val="0"/>
                <w:szCs w:val="21"/>
                <w:lang w:bidi="ar"/>
              </w:rPr>
              <w:t>）</w:t>
            </w:r>
          </w:p>
        </w:tc>
      </w:tr>
    </w:tbl>
    <w:p>
      <w:pPr>
        <w:pStyle w:val="38"/>
        <w:widowControl/>
        <w:spacing w:before="280" w:beforeAutospacing="0"/>
        <w:jc w:val="center"/>
        <w:outlineLvl w:val="1"/>
        <w:rPr>
          <w:rFonts w:hint="eastAsia" w:ascii="黑体" w:hAnsi="宋体" w:eastAsia="黑体" w:cs="黑体"/>
          <w:sz w:val="40"/>
          <w:szCs w:val="40"/>
          <w:lang w:val="en-US" w:eastAsia="zh-CN"/>
        </w:rPr>
      </w:pPr>
      <w:r>
        <w:rPr>
          <w:rFonts w:hint="eastAsia" w:ascii="黑体" w:hAnsi="宋体" w:eastAsia="黑体" w:cs="黑体"/>
          <w:sz w:val="40"/>
          <w:szCs w:val="40"/>
        </w:rPr>
        <w:t>符合性审查表</w:t>
      </w:r>
    </w:p>
    <w:tbl>
      <w:tblPr>
        <w:tblStyle w:val="43"/>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lang w:bidi="ar"/>
              </w:rPr>
              <w:t>序号</w:t>
            </w:r>
          </w:p>
        </w:tc>
        <w:tc>
          <w:tcPr>
            <w:tcW w:w="8284"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jc w:val="center"/>
              <w:rPr>
                <w:sz w:val="28"/>
                <w:szCs w:val="28"/>
              </w:rPr>
            </w:pPr>
            <w:r>
              <w:rPr>
                <w:rFonts w:ascii="宋体" w:hAnsi="宋体" w:cs="宋体"/>
                <w:kern w:val="0"/>
                <w:sz w:val="28"/>
                <w:szCs w:val="28"/>
                <w:lang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2</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3</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分项报价或投标总价高于</w:t>
            </w:r>
            <w:bookmarkStart w:id="1" w:name="_Hlk71832186"/>
            <w:r>
              <w:rPr>
                <w:rFonts w:hint="eastAsia"/>
              </w:rPr>
              <w:t>相应财政预算金额（或设定的财政预算金额下的最高限价）</w:t>
            </w:r>
            <w:bookmarkEnd w:id="1"/>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4</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5</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6</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未按招标文件所提供的样式填写《投标函》；未按招标文件所提供的《政府采购投标及履约承诺函》进行承诺；未按招标文件对投标文件组成的要求提供投标文件；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7</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投标报价有缺漏项目,或者对招标文件规定的项目需求内容或者需求数量进行修改</w:t>
            </w:r>
            <w:r>
              <w:rPr>
                <w:rFonts w:hint="eastAsia"/>
                <w:szCs w:val="21"/>
              </w:rPr>
              <w:t>，评审委员会判定投标响应不满足采购需求</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8</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9</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10</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11</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szCs w:val="21"/>
              </w:rPr>
            </w:pPr>
            <w:r>
              <w:rPr>
                <w:rFonts w:ascii="宋体" w:hAnsi="宋体" w:cs="宋体"/>
                <w:kern w:val="0"/>
                <w:szCs w:val="21"/>
                <w:lang w:bidi="ar"/>
              </w:rPr>
              <w:t>12</w:t>
            </w:r>
          </w:p>
        </w:tc>
        <w:tc>
          <w:tcPr>
            <w:tcW w:w="8284" w:type="dxa"/>
            <w:tcBorders>
              <w:top w:val="single" w:color="000000" w:sz="8" w:space="0"/>
              <w:left w:val="single" w:color="000000" w:sz="8" w:space="0"/>
              <w:bottom w:val="single" w:color="000000" w:sz="8" w:space="0"/>
              <w:right w:val="single" w:color="000000" w:sz="8" w:space="0"/>
            </w:tcBorders>
            <w:shd w:val="clear" w:color="auto" w:fill="auto"/>
          </w:tcPr>
          <w:p>
            <w:pPr>
              <w:widowControl/>
              <w:jc w:val="left"/>
              <w:textAlignment w:val="top"/>
              <w:rPr>
                <w:szCs w:val="21"/>
              </w:rPr>
            </w:pPr>
            <w:r>
              <w:rPr>
                <w:rFonts w:hint="eastAsia"/>
              </w:rPr>
              <w:t>法律、法规、规章、规范性文件规定的其他情形。</w:t>
            </w:r>
          </w:p>
        </w:tc>
      </w:tr>
    </w:tbl>
    <w:p>
      <w:pPr>
        <w:pStyle w:val="38"/>
        <w:widowControl/>
        <w:jc w:val="center"/>
        <w:outlineLvl w:val="1"/>
        <w:rPr>
          <w:rFonts w:ascii="黑体" w:hAnsi="宋体" w:eastAsia="黑体" w:cs="黑体"/>
          <w:sz w:val="40"/>
          <w:szCs w:val="40"/>
        </w:rPr>
      </w:pPr>
      <w:r>
        <w:rPr>
          <w:rFonts w:hint="eastAsia" w:ascii="黑体" w:hAnsi="宋体" w:eastAsia="黑体" w:cs="黑体"/>
          <w:sz w:val="40"/>
          <w:szCs w:val="40"/>
        </w:rPr>
        <w:t>评标信息</w:t>
      </w:r>
    </w:p>
    <w:tbl>
      <w:tblPr>
        <w:tblStyle w:val="43"/>
        <w:tblW w:w="9078" w:type="dxa"/>
        <w:jc w:val="center"/>
        <w:tblCellSpacing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45" w:type="dxa"/>
          <w:left w:w="45" w:type="dxa"/>
          <w:bottom w:w="45" w:type="dxa"/>
          <w:right w:w="45" w:type="dxa"/>
        </w:tblCellMar>
      </w:tblPr>
      <w:tblGrid>
        <w:gridCol w:w="8860"/>
        <w:gridCol w:w="21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blCellSpacing w:w="0" w:type="dxa"/>
          <w:jc w:val="center"/>
        </w:trPr>
        <w:tc>
          <w:tcPr>
            <w:tcW w:w="8860" w:type="dxa"/>
            <w:shd w:val="clear" w:color="auto" w:fill="auto"/>
            <w:vAlign w:val="center"/>
          </w:tcPr>
          <w:p>
            <w:pPr>
              <w:widowControl/>
              <w:jc w:val="left"/>
              <w:rPr>
                <w:b/>
                <w:bCs/>
                <w:sz w:val="24"/>
              </w:rPr>
            </w:pPr>
            <w:r>
              <w:rPr>
                <w:b/>
                <w:bCs/>
              </w:rPr>
              <w:t>评标方法：</w:t>
            </w:r>
            <w:r>
              <w:rPr>
                <w:rFonts w:hint="eastAsia"/>
                <w:b/>
                <w:bCs/>
              </w:rPr>
              <w:t>最低价法/</w:t>
            </w:r>
            <w:r>
              <w:rPr>
                <w:b/>
                <w:bCs/>
              </w:rPr>
              <w:t>综合评分法（新价格分算法）</w:t>
            </w:r>
          </w:p>
        </w:tc>
        <w:tc>
          <w:tcPr>
            <w:tcW w:w="218" w:type="dxa"/>
            <w:shd w:val="clear" w:color="auto" w:fill="auto"/>
            <w:vAlign w:val="center"/>
          </w:tcPr>
          <w:p>
            <w:pPr>
              <w:jc w:val="right"/>
              <w:rPr>
                <w:rFonts w:ascii="宋体"/>
                <w:b/>
                <w:bCs/>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0" w:type="dxa"/>
          <w:jc w:val="center"/>
        </w:trPr>
        <w:tc>
          <w:tcPr>
            <w:tcW w:w="9078" w:type="dxa"/>
            <w:gridSpan w:val="2"/>
            <w:shd w:val="clear" w:color="auto" w:fill="auto"/>
            <w:vAlign w:val="center"/>
          </w:tcPr>
          <w:p>
            <w:pPr>
              <w:ind w:firstLine="420"/>
              <w:rPr>
                <w:rFonts w:ascii="ˎ̥" w:hAnsi="ˎ̥"/>
              </w:rPr>
            </w:pPr>
            <w:r>
              <w:rPr>
                <w:rFonts w:hint="eastAsia" w:ascii="ˎ̥" w:hAnsi="ˎ̥"/>
              </w:rPr>
              <w:t xml:space="preserve">综合评分法，是指投标文件满足招标文件全部实质性要求，且按照评审因素的量化指标评审得分最高的投标人为中标候选人的评标方法（排名第二的投标人为第一递补中标候选人，排名第三的投标人为第二递补中标候选人）。 </w:t>
            </w:r>
          </w:p>
          <w:p>
            <w:pPr>
              <w:ind w:firstLine="420"/>
              <w:rPr>
                <w:rFonts w:hint="eastAsia" w:ascii="ˎ̥" w:hAnsi="ˎ̥" w:cs="Times New Roman"/>
              </w:rPr>
            </w:pPr>
            <w:r>
              <w:rPr>
                <w:rFonts w:hint="eastAsia" w:ascii="ˎ̥" w:hAnsi="ˎ̥" w:cs="Times New Roman"/>
              </w:rPr>
              <w:t>确定中标供应商按评审后得分由高到低顺序排列。得分相同的，按投标报价由低到高顺序排列。得分且投标报价相同的按照技术部分评审得分由高到低顺序排列。再次相同的，通过随机抽取的方式确定。</w:t>
            </w:r>
          </w:p>
          <w:p>
            <w:pPr>
              <w:pStyle w:val="2"/>
              <w:rPr>
                <w:rFonts w:hint="default" w:eastAsia="宋体"/>
                <w:lang w:val="en-US" w:eastAsia="zh-CN"/>
              </w:rPr>
            </w:pPr>
          </w:p>
          <w:p>
            <w:pPr>
              <w:ind w:firstLine="420"/>
              <w:rPr>
                <w:szCs w:val="21"/>
              </w:rPr>
            </w:pPr>
            <w:r>
              <w:rPr>
                <w:szCs w:val="21"/>
              </w:rPr>
              <w:t>价格分计算方法：</w:t>
            </w:r>
          </w:p>
          <w:p>
            <w:pPr>
              <w:pStyle w:val="38"/>
              <w:widowControl/>
              <w:spacing w:line="324" w:lineRule="auto"/>
              <w:ind w:left="420"/>
              <w:rPr>
                <w:sz w:val="21"/>
                <w:szCs w:val="21"/>
              </w:rPr>
            </w:pPr>
            <w:r>
              <w:rPr>
                <w:kern w:val="2"/>
                <w:sz w:val="21"/>
                <w:szCs w:val="21"/>
              </w:rPr>
              <w:t xml:space="preserve">采用低价优先法计算，即满足招标文件要求且投标价格最低的投标报价为评标基准价，其价格分为满分。其他投标人的价格分统一按照下列公式计算： </w:t>
            </w:r>
            <w:r>
              <w:rPr>
                <w:kern w:val="2"/>
                <w:sz w:val="21"/>
                <w:szCs w:val="21"/>
              </w:rPr>
              <w:br w:type="textWrapping"/>
            </w:r>
            <w:r>
              <w:rPr>
                <w:kern w:val="2"/>
                <w:sz w:val="21"/>
                <w:szCs w:val="21"/>
              </w:rPr>
              <w:t xml:space="preserve">投标报价得分=(评标基准价／投标报价)×100 </w:t>
            </w:r>
            <w:r>
              <w:rPr>
                <w:kern w:val="2"/>
                <w:sz w:val="21"/>
                <w:szCs w:val="21"/>
              </w:rPr>
              <w:br w:type="textWrapping"/>
            </w:r>
            <w:r>
              <w:rPr>
                <w:kern w:val="2"/>
                <w:sz w:val="21"/>
                <w:szCs w:val="21"/>
              </w:rPr>
              <w:t xml:space="preserve">评标总得分＝F1×A1＋F2×A2＋……＋Fn×An </w:t>
            </w:r>
            <w:r>
              <w:rPr>
                <w:kern w:val="2"/>
                <w:sz w:val="21"/>
                <w:szCs w:val="21"/>
              </w:rPr>
              <w:br w:type="textWrapping"/>
            </w:r>
            <w:r>
              <w:rPr>
                <w:kern w:val="2"/>
                <w:sz w:val="21"/>
                <w:szCs w:val="21"/>
              </w:rPr>
              <w:t xml:space="preserve">F1、F2……Fn分别为各项评审因素的得分； </w:t>
            </w:r>
            <w:r>
              <w:rPr>
                <w:kern w:val="2"/>
                <w:sz w:val="21"/>
                <w:szCs w:val="21"/>
              </w:rPr>
              <w:br w:type="textWrapping"/>
            </w:r>
            <w:r>
              <w:rPr>
                <w:kern w:val="2"/>
                <w:sz w:val="21"/>
                <w:szCs w:val="21"/>
              </w:rPr>
              <w:t xml:space="preserve">A1、A2、……An 分别为各项评审因素所占的权重(A1＋A2＋……＋An＝1)。 </w:t>
            </w:r>
            <w:r>
              <w:rPr>
                <w:kern w:val="2"/>
                <w:sz w:val="21"/>
                <w:szCs w:val="21"/>
              </w:rPr>
              <w:br w:type="textWrapping"/>
            </w:r>
            <w:r>
              <w:rPr>
                <w:kern w:val="2"/>
                <w:sz w:val="21"/>
                <w:szCs w:val="21"/>
              </w:rPr>
              <w:t xml:space="preserve">评标过程中，不得去掉报价中的最高报价和最低报价。 </w:t>
            </w:r>
            <w:r>
              <w:rPr>
                <w:kern w:val="2"/>
                <w:sz w:val="21"/>
                <w:szCs w:val="21"/>
              </w:rPr>
              <w:br w:type="textWrapping"/>
            </w:r>
            <w:r>
              <w:rPr>
                <w:kern w:val="2"/>
                <w:sz w:val="21"/>
                <w:szCs w:val="21"/>
              </w:rPr>
              <w:t>此方法适用于货物类、服务类、工程类项目。</w:t>
            </w:r>
          </w:p>
        </w:tc>
      </w:tr>
    </w:tbl>
    <w:p>
      <w:pPr>
        <w:rPr>
          <w:vanish/>
          <w:sz w:val="24"/>
        </w:rPr>
      </w:pPr>
    </w:p>
    <w:tbl>
      <w:tblPr>
        <w:tblStyle w:val="43"/>
        <w:tblW w:w="95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499"/>
        <w:gridCol w:w="73"/>
        <w:gridCol w:w="734"/>
        <w:gridCol w:w="4828"/>
        <w:gridCol w:w="1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821" w:type="dxa"/>
            <w:gridSpan w:val="5"/>
            <w:vAlign w:val="center"/>
          </w:tcPr>
          <w:p>
            <w:pPr>
              <w:autoSpaceDE w:val="0"/>
              <w:autoSpaceDN w:val="0"/>
              <w:jc w:val="center"/>
              <w:rPr>
                <w:rFonts w:ascii="宋体" w:hAnsi="宋体"/>
                <w:szCs w:val="21"/>
                <w:lang w:val="zh-CN"/>
              </w:rPr>
            </w:pPr>
            <w:bookmarkStart w:id="2" w:name="_Hlk72360569"/>
            <w:r>
              <w:rPr>
                <w:rFonts w:hint="eastAsia" w:ascii="宋体" w:hAnsi="宋体"/>
                <w:sz w:val="24"/>
                <w:lang w:val="zh-CN"/>
              </w:rPr>
              <w:t>评分项及评分规则</w:t>
            </w:r>
          </w:p>
        </w:tc>
        <w:tc>
          <w:tcPr>
            <w:tcW w:w="1760" w:type="dxa"/>
            <w:vAlign w:val="center"/>
          </w:tcPr>
          <w:p>
            <w:pPr>
              <w:autoSpaceDE w:val="0"/>
              <w:autoSpaceDN w:val="0"/>
              <w:jc w:val="center"/>
              <w:rPr>
                <w:rFonts w:ascii="宋体" w:hAnsi="宋体"/>
                <w:szCs w:val="21"/>
                <w:lang w:val="zh-CN"/>
              </w:rPr>
            </w:pPr>
            <w:r>
              <w:rPr>
                <w:rFonts w:hint="eastAsia" w:ascii="宋体" w:hAnsi="宋体"/>
                <w:szCs w:val="21"/>
                <w:lang w:val="zh-CN"/>
              </w:rPr>
              <w:t>权重（</w:t>
            </w:r>
            <w:r>
              <w:rPr>
                <w:rFonts w:hint="eastAsia" w:ascii="宋体" w:hAnsi="宋体"/>
                <w:szCs w:val="21"/>
              </w:rPr>
              <w:t>%</w:t>
            </w:r>
            <w:r>
              <w:rPr>
                <w:rFonts w:hint="eastAsia" w:ascii="宋体" w:hAnsi="宋体"/>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821" w:type="dxa"/>
            <w:gridSpan w:val="5"/>
            <w:vAlign w:val="center"/>
          </w:tcPr>
          <w:p>
            <w:pPr>
              <w:autoSpaceDE w:val="0"/>
              <w:autoSpaceDN w:val="0"/>
              <w:jc w:val="center"/>
              <w:rPr>
                <w:rFonts w:ascii="宋体" w:hAnsi="宋体"/>
                <w:szCs w:val="21"/>
                <w:lang w:val="zh-CN"/>
              </w:rPr>
            </w:pPr>
            <w:r>
              <w:rPr>
                <w:rFonts w:hint="eastAsia" w:ascii="宋体" w:hAnsi="宋体"/>
                <w:b/>
                <w:bCs/>
                <w:szCs w:val="21"/>
                <w:lang w:val="zh-CN"/>
              </w:rPr>
              <w:t>一、价格部分</w:t>
            </w:r>
          </w:p>
        </w:tc>
        <w:tc>
          <w:tcPr>
            <w:tcW w:w="1760" w:type="dxa"/>
            <w:vAlign w:val="center"/>
          </w:tcPr>
          <w:p>
            <w:pPr>
              <w:autoSpaceDE w:val="0"/>
              <w:autoSpaceDN w:val="0"/>
              <w:jc w:val="center"/>
              <w:rPr>
                <w:rFonts w:ascii="宋体" w:hAnsi="宋体"/>
                <w:szCs w:val="21"/>
              </w:rPr>
            </w:pPr>
            <w:r>
              <w:rPr>
                <w:rFonts w:hint="eastAsia" w:ascii="宋体" w:hAnsi="宋体"/>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7821" w:type="dxa"/>
            <w:gridSpan w:val="5"/>
            <w:vAlign w:val="center"/>
          </w:tcPr>
          <w:p>
            <w:pPr>
              <w:ind w:firstLine="422" w:firstLineChars="200"/>
              <w:rPr>
                <w:b/>
              </w:rPr>
            </w:pPr>
            <w:r>
              <w:rPr>
                <w:rFonts w:hint="eastAsia"/>
                <w:b/>
              </w:rPr>
              <w:t>关于享受优惠政策的主体及价格扣除比例</w:t>
            </w:r>
          </w:p>
          <w:p>
            <w:pPr>
              <w:numPr>
                <w:ilvl w:val="0"/>
                <w:numId w:val="0"/>
              </w:numPr>
              <w:ind w:firstLine="420" w:firstLineChars="200"/>
            </w:pPr>
            <w:r>
              <w:rPr>
                <w:rFonts w:hint="eastAsia"/>
              </w:rPr>
              <w:t>根据《政府采购促进中小企业发展管理办法》（财库﹝2020﹞46 号），供应商提供的货物由中小企业制造，即货物由中小企业生产且使用该中小企业商号或者注册商标的，可享受中小企业扶持政策。</w:t>
            </w:r>
            <w:r>
              <w:rPr>
                <w:rFonts w:hint="eastAsia"/>
                <w:b/>
                <w:bCs/>
                <w:color w:val="FF0000"/>
              </w:rPr>
              <w:t>供应商提供的货物既有中小企业制造货物，也有大型企业制造货物的，不享受《政府采购促进中小企业发展管理办法》（财库﹝2020﹞46 号）规定的中小企业扶持政策</w:t>
            </w:r>
            <w:r>
              <w:rPr>
                <w:rFonts w:hint="eastAsia"/>
              </w:rPr>
              <w:t>。</w:t>
            </w:r>
          </w:p>
          <w:p>
            <w:pPr>
              <w:numPr>
                <w:ilvl w:val="0"/>
                <w:numId w:val="9"/>
              </w:numPr>
              <w:ind w:firstLine="420" w:firstLineChars="200"/>
            </w:pPr>
            <w:r>
              <w:rPr>
                <w:rFonts w:hint="eastAsia"/>
              </w:rPr>
              <w:t>供应商提供的货物全部为小微企业制造的，可享受对其投标报价</w:t>
            </w:r>
            <w:r>
              <w:rPr>
                <w:rFonts w:hint="eastAsia"/>
                <w:highlight w:val="yellow"/>
                <w:u w:val="single"/>
              </w:rPr>
              <w:t>6%</w:t>
            </w:r>
            <w:r>
              <w:rPr>
                <w:rFonts w:hint="eastAsia"/>
              </w:rPr>
              <w:t>的价格评审优惠，用扣除后的价格参加评审。</w:t>
            </w:r>
          </w:p>
          <w:p>
            <w:pPr>
              <w:numPr>
                <w:ilvl w:val="0"/>
                <w:numId w:val="0"/>
              </w:numPr>
              <w:ind w:firstLine="420" w:firstLineChars="200"/>
            </w:pPr>
            <w:r>
              <w:rPr>
                <w:rFonts w:hint="eastAsia"/>
              </w:rPr>
              <w:t>（2）监狱企业、残疾人福利性单位视为小微企业，享受扶持政策。</w:t>
            </w:r>
          </w:p>
          <w:p>
            <w:pPr>
              <w:numPr>
                <w:ilvl w:val="0"/>
                <w:numId w:val="0"/>
              </w:numPr>
              <w:ind w:firstLine="420" w:firstLineChars="200"/>
            </w:pPr>
            <w:r>
              <w:rPr>
                <w:rFonts w:hint="eastAsia"/>
              </w:rPr>
              <w:t>（3）享受中小企业扶持政策的供应商应如实填写《中小企业声明函》、《残疾人福利性单位声明函》、《监狱企业声明函》等承诺性质的资料（声明函样式见本招标文件第三部分“格式及附件”中第二章节提供的格式）；监狱企业或者代理提供监狱企业货物的供应商如须享受中小企业扶持政策的，除上述资料外，还须提供省级以上监狱管理局、戒毒管理局（含新疆生产建设兵团）出具的监狱企业证明文件。</w:t>
            </w:r>
          </w:p>
          <w:p>
            <w:pPr>
              <w:numPr>
                <w:ilvl w:val="0"/>
                <w:numId w:val="0"/>
              </w:numPr>
              <w:ind w:firstLine="420" w:firstLineChars="200"/>
            </w:pPr>
            <w:r>
              <w:rPr>
                <w:rFonts w:hint="eastAsia"/>
              </w:rPr>
              <w:t>（4）供应商不重复享受多项价格评审优惠政策。</w:t>
            </w:r>
          </w:p>
          <w:p>
            <w:pPr>
              <w:autoSpaceDE w:val="0"/>
              <w:autoSpaceDN w:val="0"/>
              <w:ind w:firstLine="422" w:firstLineChars="200"/>
              <w:rPr>
                <w:rFonts w:ascii="宋体" w:hAnsi="宋体"/>
                <w:szCs w:val="21"/>
                <w:lang w:val="zh-CN"/>
              </w:rPr>
            </w:pPr>
            <w:r>
              <w:rPr>
                <w:rFonts w:hint="eastAsia"/>
                <w:b/>
                <w:bCs/>
                <w:color w:val="FF0000"/>
              </w:rPr>
              <w:t>相关中小企业扶持政策具体以</w:t>
            </w:r>
            <w:r>
              <w:rPr>
                <w:rFonts w:hint="eastAsia" w:ascii="宋体" w:hAnsi="宋体"/>
                <w:b/>
                <w:bCs/>
                <w:color w:val="FF0000"/>
                <w:szCs w:val="21"/>
              </w:rPr>
              <w:t>《政府采购促进中小企业发展管理办法》（财库〔2020〕46号）等最新规定为准。</w:t>
            </w:r>
          </w:p>
        </w:tc>
        <w:tc>
          <w:tcPr>
            <w:tcW w:w="1760" w:type="dxa"/>
            <w:vAlign w:val="center"/>
          </w:tcPr>
          <w:p>
            <w:pPr>
              <w:autoSpaceDE w:val="0"/>
              <w:autoSpaceDN w:val="0"/>
              <w:jc w:val="center"/>
              <w:rPr>
                <w:rFonts w:ascii="宋体" w:hAnsi="宋体"/>
                <w:szCs w:val="21"/>
                <w:lang w:val="zh-CN"/>
              </w:rPr>
            </w:pPr>
            <w:r>
              <w:rPr>
                <w:rFonts w:hint="eastAsia" w:ascii="宋体" w:hAnsi="宋体"/>
                <w:szCs w:val="21"/>
                <w:lang w:val="zh-CN"/>
              </w:rPr>
              <w:t>评分方式</w:t>
            </w:r>
          </w:p>
          <w:p>
            <w:pPr>
              <w:autoSpaceDE w:val="0"/>
              <w:autoSpaceDN w:val="0"/>
              <w:jc w:val="center"/>
              <w:rPr>
                <w:rFonts w:ascii="宋体" w:hAnsi="宋体"/>
                <w:szCs w:val="21"/>
              </w:rPr>
            </w:pPr>
            <w:r>
              <w:rPr>
                <w:rFonts w:hint="eastAsia" w:ascii="宋体" w:hAnsi="宋体"/>
                <w:szCs w:val="21"/>
                <w:lang w:val="zh-CN"/>
              </w:rPr>
              <w:t>按公式计算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821" w:type="dxa"/>
            <w:gridSpan w:val="5"/>
            <w:vAlign w:val="center"/>
          </w:tcPr>
          <w:p>
            <w:pPr>
              <w:autoSpaceDE w:val="0"/>
              <w:autoSpaceDN w:val="0"/>
              <w:jc w:val="center"/>
              <w:rPr>
                <w:rFonts w:ascii="宋体" w:hAnsi="宋体"/>
                <w:szCs w:val="21"/>
                <w:lang w:val="zh-CN"/>
              </w:rPr>
            </w:pPr>
            <w:r>
              <w:rPr>
                <w:rFonts w:hint="eastAsia" w:ascii="宋体" w:hAnsi="宋体"/>
                <w:b/>
                <w:bCs/>
                <w:szCs w:val="21"/>
                <w:lang w:val="zh-CN"/>
              </w:rPr>
              <w:t>二、技术部分</w:t>
            </w:r>
          </w:p>
        </w:tc>
        <w:tc>
          <w:tcPr>
            <w:tcW w:w="1760" w:type="dxa"/>
            <w:vAlign w:val="center"/>
          </w:tcPr>
          <w:p>
            <w:pPr>
              <w:autoSpaceDE w:val="0"/>
              <w:autoSpaceDN w:val="0"/>
              <w:jc w:val="center"/>
              <w:rPr>
                <w:rFonts w:hint="eastAsia" w:ascii="宋体" w:hAnsi="宋体" w:eastAsia="宋体"/>
                <w:szCs w:val="21"/>
                <w:lang w:eastAsia="zh-CN"/>
              </w:rPr>
            </w:pPr>
            <w:r>
              <w:rPr>
                <w:rFonts w:hint="eastAsia" w:ascii="宋体" w:hAnsi="宋体"/>
                <w:szCs w:val="21"/>
              </w:rPr>
              <w:t>5</w:t>
            </w:r>
            <w:r>
              <w:rPr>
                <w:rFonts w:hint="eastAsia" w:ascii="宋体" w:hAnsi="宋体"/>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7" w:type="dxa"/>
            <w:vAlign w:val="center"/>
          </w:tcPr>
          <w:p>
            <w:pPr>
              <w:autoSpaceDE w:val="0"/>
              <w:autoSpaceDN w:val="0"/>
              <w:jc w:val="center"/>
              <w:rPr>
                <w:rFonts w:hint="eastAsia" w:ascii="宋体" w:hAnsi="宋体"/>
                <w:szCs w:val="21"/>
                <w:lang w:val="zh-CN"/>
              </w:rPr>
            </w:pPr>
            <w:r>
              <w:rPr>
                <w:rFonts w:hint="eastAsia" w:ascii="宋体" w:hAnsi="宋体"/>
                <w:szCs w:val="21"/>
                <w:lang w:val="zh-CN"/>
              </w:rPr>
              <w:t>序号</w:t>
            </w:r>
          </w:p>
        </w:tc>
        <w:tc>
          <w:tcPr>
            <w:tcW w:w="1572" w:type="dxa"/>
            <w:gridSpan w:val="2"/>
            <w:vAlign w:val="center"/>
          </w:tcPr>
          <w:p>
            <w:pPr>
              <w:autoSpaceDE w:val="0"/>
              <w:autoSpaceDN w:val="0"/>
              <w:jc w:val="center"/>
              <w:rPr>
                <w:rFonts w:hint="eastAsia" w:ascii="宋体" w:hAnsi="宋体"/>
                <w:szCs w:val="21"/>
                <w:lang w:val="zh-CN"/>
              </w:rPr>
            </w:pPr>
            <w:r>
              <w:rPr>
                <w:rFonts w:hint="eastAsia" w:ascii="宋体" w:hAnsi="宋体"/>
                <w:szCs w:val="21"/>
                <w:lang w:val="zh-CN"/>
              </w:rPr>
              <w:t>内容</w:t>
            </w:r>
          </w:p>
        </w:tc>
        <w:tc>
          <w:tcPr>
            <w:tcW w:w="734" w:type="dxa"/>
            <w:vAlign w:val="center"/>
          </w:tcPr>
          <w:p>
            <w:pPr>
              <w:autoSpaceDE w:val="0"/>
              <w:autoSpaceDN w:val="0"/>
              <w:jc w:val="center"/>
              <w:rPr>
                <w:rFonts w:hint="eastAsia" w:ascii="宋体" w:hAnsi="宋体"/>
                <w:szCs w:val="21"/>
                <w:lang w:val="zh-CN"/>
              </w:rPr>
            </w:pPr>
            <w:r>
              <w:rPr>
                <w:rFonts w:hint="eastAsia" w:ascii="宋体" w:hAnsi="宋体"/>
                <w:szCs w:val="21"/>
                <w:lang w:val="zh-CN"/>
              </w:rPr>
              <w:t>权重（</w:t>
            </w:r>
            <w:r>
              <w:rPr>
                <w:rFonts w:hint="eastAsia" w:ascii="宋体" w:hAnsi="宋体"/>
                <w:szCs w:val="21"/>
              </w:rPr>
              <w:t>%</w:t>
            </w:r>
            <w:r>
              <w:rPr>
                <w:rFonts w:hint="eastAsia" w:ascii="宋体" w:hAnsi="宋体"/>
                <w:szCs w:val="21"/>
                <w:lang w:val="zh-CN"/>
              </w:rPr>
              <w:t>）</w:t>
            </w:r>
          </w:p>
        </w:tc>
        <w:tc>
          <w:tcPr>
            <w:tcW w:w="4828" w:type="dxa"/>
            <w:vAlign w:val="center"/>
          </w:tcPr>
          <w:p>
            <w:pPr>
              <w:autoSpaceDE w:val="0"/>
              <w:autoSpaceDN w:val="0"/>
              <w:jc w:val="center"/>
              <w:rPr>
                <w:rFonts w:hint="eastAsia" w:ascii="宋体" w:hAnsi="宋体"/>
                <w:szCs w:val="21"/>
                <w:lang w:val="zh-CN"/>
              </w:rPr>
            </w:pPr>
            <w:r>
              <w:rPr>
                <w:rFonts w:hint="eastAsia" w:ascii="宋体" w:hAnsi="宋体"/>
                <w:szCs w:val="21"/>
                <w:lang w:val="zh-CN"/>
              </w:rPr>
              <w:t>评分规则</w:t>
            </w:r>
          </w:p>
        </w:tc>
        <w:tc>
          <w:tcPr>
            <w:tcW w:w="1760" w:type="dxa"/>
            <w:vAlign w:val="center"/>
          </w:tcPr>
          <w:p>
            <w:pPr>
              <w:autoSpaceDE w:val="0"/>
              <w:autoSpaceDN w:val="0"/>
              <w:jc w:val="center"/>
              <w:rPr>
                <w:rFonts w:hint="eastAsia" w:ascii="宋体" w:hAnsi="宋体"/>
                <w:szCs w:val="21"/>
                <w:lang w:val="zh-CN"/>
              </w:rPr>
            </w:pPr>
            <w:r>
              <w:rPr>
                <w:rFonts w:hint="eastAsia" w:ascii="宋体" w:hAnsi="宋体"/>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7" w:type="dxa"/>
            <w:vAlign w:val="center"/>
          </w:tcPr>
          <w:p>
            <w:pPr>
              <w:autoSpaceDE w:val="0"/>
              <w:autoSpaceDN w:val="0"/>
              <w:jc w:val="center"/>
              <w:rPr>
                <w:rFonts w:ascii="宋体" w:hAnsi="宋体"/>
                <w:szCs w:val="21"/>
                <w:lang w:val="zh-CN"/>
              </w:rPr>
            </w:pPr>
            <w:r>
              <w:rPr>
                <w:rFonts w:ascii="宋体" w:hAnsi="宋体"/>
                <w:szCs w:val="21"/>
                <w:lang w:val="zh-CN"/>
              </w:rPr>
              <w:t>1</w:t>
            </w:r>
          </w:p>
        </w:tc>
        <w:tc>
          <w:tcPr>
            <w:tcW w:w="1572" w:type="dxa"/>
            <w:gridSpan w:val="2"/>
            <w:vAlign w:val="center"/>
          </w:tcPr>
          <w:p>
            <w:pPr>
              <w:autoSpaceDE w:val="0"/>
              <w:autoSpaceDN w:val="0"/>
              <w:jc w:val="center"/>
              <w:rPr>
                <w:rFonts w:hint="eastAsia" w:ascii="宋体" w:hAnsi="宋体" w:cs="宋体"/>
                <w:szCs w:val="21"/>
              </w:rPr>
            </w:pPr>
            <w:r>
              <w:rPr>
                <w:rFonts w:hint="eastAsia" w:ascii="宋体" w:hAnsi="宋体" w:cs="宋体"/>
                <w:szCs w:val="21"/>
              </w:rPr>
              <w:t>技术规格偏离情况</w:t>
            </w:r>
          </w:p>
        </w:tc>
        <w:tc>
          <w:tcPr>
            <w:tcW w:w="734" w:type="dxa"/>
            <w:vAlign w:val="center"/>
          </w:tcPr>
          <w:p>
            <w:pPr>
              <w:autoSpaceDE w:val="0"/>
              <w:autoSpaceDN w:val="0"/>
              <w:jc w:val="center"/>
              <w:rPr>
                <w:rFonts w:hint="eastAsia" w:ascii="宋体" w:hAnsi="宋体" w:eastAsia="宋体" w:cs="宋体"/>
                <w:szCs w:val="21"/>
                <w:lang w:eastAsia="zh-CN"/>
              </w:rPr>
            </w:pPr>
            <w:r>
              <w:rPr>
                <w:rFonts w:hint="eastAsia" w:ascii="宋体" w:hAnsi="宋体" w:cs="宋体"/>
                <w:szCs w:val="21"/>
                <w:lang w:val="en-US" w:eastAsia="zh-CN"/>
              </w:rPr>
              <w:t>55</w:t>
            </w:r>
          </w:p>
        </w:tc>
        <w:tc>
          <w:tcPr>
            <w:tcW w:w="4828" w:type="dxa"/>
            <w:vAlign w:val="center"/>
          </w:tcPr>
          <w:p>
            <w:pPr>
              <w:autoSpaceDE w:val="0"/>
              <w:autoSpaceDN w:val="0"/>
              <w:rPr>
                <w:rFonts w:ascii="宋体" w:hAnsi="宋体" w:cs="宋体"/>
                <w:b/>
                <w:bCs/>
                <w:szCs w:val="21"/>
              </w:rPr>
            </w:pPr>
            <w:r>
              <w:rPr>
                <w:rFonts w:hint="eastAsia" w:ascii="宋体" w:hAnsi="宋体" w:cs="宋体"/>
                <w:b/>
                <w:bCs/>
                <w:szCs w:val="21"/>
              </w:rPr>
              <w:t>1.评审内容：</w:t>
            </w:r>
          </w:p>
          <w:p>
            <w:pPr>
              <w:autoSpaceDE w:val="0"/>
              <w:autoSpaceDN w:val="0"/>
              <w:rPr>
                <w:rFonts w:hint="eastAsia" w:ascii="宋体" w:hAnsi="宋体" w:cs="宋体"/>
                <w:szCs w:val="21"/>
              </w:rPr>
            </w:pPr>
            <w:r>
              <w:rPr>
                <w:rFonts w:hint="eastAsia" w:ascii="宋体" w:hAnsi="宋体" w:cs="宋体"/>
                <w:szCs w:val="21"/>
              </w:rPr>
              <w:t>评标委员会根据投标人所投产品性能进行评分，</w:t>
            </w:r>
            <w:r>
              <w:rPr>
                <w:rFonts w:hint="eastAsia" w:ascii="宋体" w:hAnsi="宋体"/>
                <w:szCs w:val="21"/>
              </w:rPr>
              <w:t>完全满足招标文件要求得基本分</w:t>
            </w:r>
            <w:r>
              <w:rPr>
                <w:rFonts w:hint="eastAsia" w:ascii="宋体" w:hAnsi="宋体"/>
                <w:b/>
                <w:bCs/>
                <w:szCs w:val="21"/>
              </w:rPr>
              <w:t>100分</w:t>
            </w:r>
            <w:r>
              <w:rPr>
                <w:rFonts w:hint="eastAsia" w:ascii="宋体" w:hAnsi="宋体" w:cs="宋体"/>
                <w:szCs w:val="21"/>
              </w:rPr>
              <w:t>；在</w:t>
            </w:r>
            <w:r>
              <w:rPr>
                <w:rFonts w:hint="eastAsia" w:ascii="宋体" w:hAnsi="宋体" w:cs="宋体"/>
                <w:b/>
                <w:bCs/>
                <w:szCs w:val="21"/>
              </w:rPr>
              <w:t>100分</w:t>
            </w:r>
            <w:r>
              <w:rPr>
                <w:rFonts w:hint="eastAsia" w:ascii="宋体" w:hAnsi="宋体" w:cs="宋体"/>
                <w:szCs w:val="21"/>
              </w:rPr>
              <w:t>的基础上根据以下原则适当减分。</w:t>
            </w:r>
          </w:p>
          <w:p>
            <w:pPr>
              <w:autoSpaceDE w:val="0"/>
              <w:autoSpaceDN w:val="0"/>
              <w:rPr>
                <w:rFonts w:ascii="宋体" w:hAnsi="宋体" w:cs="宋体"/>
                <w:b/>
                <w:bCs/>
                <w:szCs w:val="21"/>
              </w:rPr>
            </w:pPr>
            <w:r>
              <w:rPr>
                <w:rFonts w:hint="eastAsia" w:ascii="宋体" w:hAnsi="宋体" w:cs="宋体"/>
                <w:b/>
                <w:bCs/>
                <w:szCs w:val="21"/>
              </w:rPr>
              <w:t>2.评分标准：</w:t>
            </w:r>
          </w:p>
          <w:p>
            <w:pPr>
              <w:autoSpaceDE w:val="0"/>
              <w:autoSpaceDN w:val="0"/>
              <w:rPr>
                <w:rFonts w:hint="eastAsia" w:ascii="宋体" w:hAnsi="宋体" w:cs="宋体"/>
                <w:szCs w:val="21"/>
              </w:rPr>
            </w:pPr>
            <w:r>
              <w:rPr>
                <w:rFonts w:hint="eastAsia" w:ascii="宋体" w:hAnsi="宋体" w:cs="宋体"/>
                <w:szCs w:val="21"/>
              </w:rPr>
              <w:t>（1）投标人所投设备主要技术参数（标“▲”参数）每负偏离1项扣</w:t>
            </w:r>
            <w:r>
              <w:rPr>
                <w:rFonts w:hint="eastAsia" w:ascii="宋体" w:hAnsi="宋体" w:cs="宋体"/>
                <w:b/>
                <w:bCs/>
                <w:szCs w:val="21"/>
                <w:u w:val="single"/>
                <w:lang w:val="en-US" w:eastAsia="zh-CN"/>
              </w:rPr>
              <w:t>2</w:t>
            </w:r>
            <w:r>
              <w:rPr>
                <w:rFonts w:hint="eastAsia" w:ascii="宋体" w:hAnsi="宋体" w:cs="宋体"/>
                <w:b/>
                <w:bCs/>
                <w:szCs w:val="21"/>
                <w:u w:val="single"/>
              </w:rPr>
              <w:t>分</w:t>
            </w:r>
            <w:r>
              <w:rPr>
                <w:rFonts w:hint="eastAsia" w:ascii="宋体" w:hAnsi="宋体" w:cs="宋体"/>
                <w:szCs w:val="21"/>
              </w:rPr>
              <w:t>，一般参数每负偏离1项扣</w:t>
            </w:r>
            <w:r>
              <w:rPr>
                <w:rFonts w:hint="eastAsia" w:ascii="宋体" w:hAnsi="宋体" w:cs="宋体"/>
                <w:b/>
                <w:bCs/>
                <w:szCs w:val="21"/>
                <w:u w:val="single"/>
                <w:lang w:val="en-US" w:eastAsia="zh-CN"/>
              </w:rPr>
              <w:t>0.3</w:t>
            </w:r>
            <w:r>
              <w:rPr>
                <w:rFonts w:hint="eastAsia" w:ascii="宋体" w:hAnsi="宋体" w:cs="宋体"/>
                <w:b/>
                <w:bCs/>
                <w:szCs w:val="21"/>
                <w:u w:val="single"/>
              </w:rPr>
              <w:t>分</w:t>
            </w:r>
            <w:r>
              <w:rPr>
                <w:rFonts w:hint="eastAsia"/>
              </w:rPr>
              <w:t>，</w:t>
            </w:r>
            <w:r>
              <w:rPr>
                <w:rFonts w:hint="eastAsia"/>
                <w:b/>
                <w:bCs/>
              </w:rPr>
              <w:t>扣完为止</w:t>
            </w:r>
            <w:r>
              <w:rPr>
                <w:rFonts w:hint="eastAsia" w:ascii="宋体" w:hAnsi="宋体" w:cs="宋体"/>
                <w:b/>
                <w:bCs/>
                <w:szCs w:val="21"/>
              </w:rPr>
              <w:t>。</w:t>
            </w:r>
          </w:p>
          <w:p>
            <w:pPr>
              <w:autoSpaceDE w:val="0"/>
              <w:autoSpaceDN w:val="0"/>
              <w:rPr>
                <w:rFonts w:hint="eastAsia" w:ascii="宋体" w:hAnsi="宋体" w:cs="宋体"/>
                <w:szCs w:val="21"/>
              </w:rPr>
            </w:pPr>
            <w:r>
              <w:rPr>
                <w:rFonts w:hint="eastAsia" w:ascii="宋体" w:hAnsi="宋体" w:cs="宋体"/>
                <w:szCs w:val="21"/>
              </w:rPr>
              <w:t>（2）未对招标文件技术参数要求进行逐条响应的，视为不满足招标文件要求，对其未响应的技术参数进行扣分。</w:t>
            </w:r>
          </w:p>
          <w:p>
            <w:pPr>
              <w:autoSpaceDE w:val="0"/>
              <w:autoSpaceDN w:val="0"/>
              <w:rPr>
                <w:rFonts w:ascii="宋体" w:hAnsi="宋体" w:cs="宋体"/>
                <w:szCs w:val="21"/>
              </w:rPr>
            </w:pPr>
            <w:r>
              <w:rPr>
                <w:rFonts w:hint="eastAsia" w:ascii="宋体" w:hAnsi="宋体" w:cs="宋体"/>
                <w:b/>
                <w:bCs/>
                <w:szCs w:val="21"/>
              </w:rPr>
              <w:t>3.证明文件</w:t>
            </w:r>
            <w:r>
              <w:rPr>
                <w:rFonts w:hint="eastAsia" w:ascii="宋体" w:hAnsi="宋体" w:cs="宋体"/>
                <w:szCs w:val="21"/>
              </w:rPr>
              <w:t>：</w:t>
            </w:r>
          </w:p>
          <w:p>
            <w:pPr>
              <w:autoSpaceDE w:val="0"/>
              <w:autoSpaceDN w:val="0"/>
              <w:rPr>
                <w:rFonts w:hint="eastAsia" w:ascii="宋体" w:hAnsi="宋体" w:cs="宋体"/>
                <w:szCs w:val="21"/>
              </w:rPr>
            </w:pPr>
            <w:r>
              <w:rPr>
                <w:rFonts w:hint="eastAsia"/>
                <w:szCs w:val="21"/>
              </w:rPr>
              <w:t>投标人应如实填写《技术规格偏离表》，标红加粗参数需要提供相关证明材料，并在投标文件中作出明显标识（标页或者划线）。投标人提供证书、检验检测报告的同时需提供证书官网、检验检测机构官网或权威机构（如“中国社会组织公共服务平台”“中国国家认证认可监督管理委员会”等）等合法查询渠道的查询记录，原件备查。相关证书或者检验检测报告在公开渠道无法查询的，需要求提供颁发部门、检验检测机构或者监管机构的证明材料，证明证书或检验检测报告真实有效且为合法机构颁发。未提供或未按要求提供相关证明材料的，则认为对应参数负偏离。</w:t>
            </w:r>
          </w:p>
        </w:tc>
        <w:tc>
          <w:tcPr>
            <w:tcW w:w="1760" w:type="dxa"/>
            <w:vAlign w:val="center"/>
          </w:tcPr>
          <w:p>
            <w:pPr>
              <w:autoSpaceDE w:val="0"/>
              <w:autoSpaceDN w:val="0"/>
              <w:jc w:val="center"/>
              <w:rPr>
                <w:rFonts w:ascii="宋体" w:hAnsi="宋体"/>
                <w:szCs w:val="21"/>
                <w:lang w:val="zh-CN"/>
              </w:rPr>
            </w:pPr>
            <w:r>
              <w:rPr>
                <w:rFonts w:hint="eastAsia" w:ascii="宋体" w:hAnsi="宋体"/>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821" w:type="dxa"/>
            <w:gridSpan w:val="5"/>
            <w:vAlign w:val="center"/>
          </w:tcPr>
          <w:p>
            <w:pPr>
              <w:autoSpaceDE w:val="0"/>
              <w:autoSpaceDN w:val="0"/>
              <w:jc w:val="center"/>
              <w:rPr>
                <w:rFonts w:hint="eastAsia"/>
                <w:szCs w:val="21"/>
              </w:rPr>
            </w:pPr>
            <w:r>
              <w:rPr>
                <w:rFonts w:hint="eastAsia" w:ascii="宋体" w:hAnsi="宋体"/>
                <w:b/>
                <w:bCs/>
                <w:szCs w:val="21"/>
                <w:lang w:val="zh-CN"/>
              </w:rPr>
              <w:t>三、商务部分</w:t>
            </w:r>
          </w:p>
        </w:tc>
        <w:tc>
          <w:tcPr>
            <w:tcW w:w="1760" w:type="dxa"/>
            <w:vAlign w:val="center"/>
          </w:tcPr>
          <w:p>
            <w:pPr>
              <w:autoSpaceDE w:val="0"/>
              <w:autoSpaceDN w:val="0"/>
              <w:jc w:val="center"/>
              <w:rPr>
                <w:rFonts w:hint="eastAsia" w:ascii="宋体" w:hAnsi="宋体"/>
                <w:szCs w:val="21"/>
              </w:rPr>
            </w:pPr>
            <w:r>
              <w:rPr>
                <w:rFonts w:hint="eastAsia" w:ascii="宋体" w:hAnsi="宋体"/>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7" w:type="dxa"/>
            <w:vAlign w:val="center"/>
          </w:tcPr>
          <w:p>
            <w:pPr>
              <w:autoSpaceDE w:val="0"/>
              <w:autoSpaceDN w:val="0"/>
              <w:jc w:val="center"/>
              <w:rPr>
                <w:rFonts w:ascii="宋体" w:hAnsi="宋体"/>
                <w:szCs w:val="21"/>
                <w:lang w:val="zh-CN"/>
              </w:rPr>
            </w:pPr>
            <w:r>
              <w:rPr>
                <w:rFonts w:hint="eastAsia" w:ascii="宋体" w:hAnsi="宋体"/>
                <w:szCs w:val="21"/>
                <w:lang w:val="zh-CN"/>
              </w:rPr>
              <w:t>序号</w:t>
            </w:r>
          </w:p>
        </w:tc>
        <w:tc>
          <w:tcPr>
            <w:tcW w:w="1572" w:type="dxa"/>
            <w:gridSpan w:val="2"/>
            <w:vAlign w:val="center"/>
          </w:tcPr>
          <w:p>
            <w:pPr>
              <w:autoSpaceDE w:val="0"/>
              <w:autoSpaceDN w:val="0"/>
              <w:jc w:val="center"/>
              <w:rPr>
                <w:rFonts w:hint="eastAsia" w:ascii="宋体" w:hAnsi="宋体" w:cs="宋体"/>
                <w:szCs w:val="21"/>
              </w:rPr>
            </w:pPr>
            <w:r>
              <w:rPr>
                <w:rFonts w:hint="eastAsia" w:ascii="宋体" w:hAnsi="宋体"/>
                <w:szCs w:val="21"/>
                <w:lang w:val="zh-CN"/>
              </w:rPr>
              <w:t>内容</w:t>
            </w:r>
          </w:p>
        </w:tc>
        <w:tc>
          <w:tcPr>
            <w:tcW w:w="734" w:type="dxa"/>
            <w:vAlign w:val="center"/>
          </w:tcPr>
          <w:p>
            <w:pPr>
              <w:autoSpaceDE w:val="0"/>
              <w:autoSpaceDN w:val="0"/>
              <w:jc w:val="center"/>
              <w:rPr>
                <w:rFonts w:hint="eastAsia" w:ascii="宋体" w:hAnsi="宋体" w:cs="宋体"/>
                <w:szCs w:val="21"/>
              </w:rPr>
            </w:pPr>
            <w:r>
              <w:rPr>
                <w:rFonts w:hint="eastAsia" w:ascii="宋体" w:hAnsi="宋体"/>
                <w:szCs w:val="21"/>
                <w:lang w:val="zh-CN"/>
              </w:rPr>
              <w:t>权重（</w:t>
            </w:r>
            <w:r>
              <w:rPr>
                <w:rFonts w:hint="eastAsia" w:ascii="宋体" w:hAnsi="宋体"/>
                <w:szCs w:val="21"/>
              </w:rPr>
              <w:t>%</w:t>
            </w:r>
            <w:r>
              <w:rPr>
                <w:rFonts w:hint="eastAsia" w:ascii="宋体" w:hAnsi="宋体"/>
                <w:szCs w:val="21"/>
                <w:lang w:val="zh-CN"/>
              </w:rPr>
              <w:t>）</w:t>
            </w:r>
          </w:p>
        </w:tc>
        <w:tc>
          <w:tcPr>
            <w:tcW w:w="4828" w:type="dxa"/>
            <w:vAlign w:val="center"/>
          </w:tcPr>
          <w:p>
            <w:pPr>
              <w:autoSpaceDE w:val="0"/>
              <w:autoSpaceDN w:val="0"/>
              <w:jc w:val="center"/>
              <w:rPr>
                <w:rFonts w:hint="eastAsia"/>
                <w:szCs w:val="21"/>
              </w:rPr>
            </w:pPr>
            <w:r>
              <w:rPr>
                <w:rFonts w:hint="eastAsia" w:ascii="宋体" w:hAnsi="宋体"/>
                <w:szCs w:val="21"/>
                <w:lang w:val="zh-CN"/>
              </w:rPr>
              <w:t>评分规则</w:t>
            </w:r>
          </w:p>
        </w:tc>
        <w:tc>
          <w:tcPr>
            <w:tcW w:w="1760" w:type="dxa"/>
            <w:vAlign w:val="center"/>
          </w:tcPr>
          <w:p>
            <w:pPr>
              <w:autoSpaceDE w:val="0"/>
              <w:autoSpaceDN w:val="0"/>
              <w:jc w:val="center"/>
              <w:rPr>
                <w:rFonts w:hint="eastAsia" w:ascii="宋体" w:hAnsi="宋体"/>
                <w:szCs w:val="21"/>
                <w:lang w:val="zh-CN"/>
              </w:rPr>
            </w:pPr>
            <w:r>
              <w:rPr>
                <w:rFonts w:hint="eastAsia" w:ascii="宋体" w:hAnsi="宋体"/>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687" w:type="dxa"/>
            <w:vAlign w:val="center"/>
          </w:tcPr>
          <w:p>
            <w:pPr>
              <w:autoSpaceDE w:val="0"/>
              <w:autoSpaceDN w:val="0"/>
              <w:adjustRightInd w:val="0"/>
              <w:jc w:val="center"/>
              <w:rPr>
                <w:rFonts w:ascii="宋体" w:hAnsi="宋体"/>
                <w:szCs w:val="21"/>
                <w:lang w:val="zh-CN"/>
              </w:rPr>
            </w:pPr>
          </w:p>
          <w:p>
            <w:pPr>
              <w:autoSpaceDE w:val="0"/>
              <w:autoSpaceDN w:val="0"/>
              <w:adjustRightInd w:val="0"/>
              <w:jc w:val="center"/>
              <w:rPr>
                <w:rFonts w:ascii="宋体" w:hAnsi="宋体"/>
                <w:szCs w:val="21"/>
                <w:lang w:val="zh-CN"/>
              </w:rPr>
            </w:pPr>
            <w:r>
              <w:rPr>
                <w:rFonts w:hint="eastAsia" w:ascii="宋体" w:hAnsi="宋体"/>
                <w:szCs w:val="21"/>
                <w:lang w:val="zh-CN"/>
              </w:rPr>
              <w:t>1</w:t>
            </w:r>
          </w:p>
          <w:p>
            <w:pPr>
              <w:autoSpaceDE w:val="0"/>
              <w:autoSpaceDN w:val="0"/>
              <w:adjustRightInd w:val="0"/>
              <w:spacing w:line="360" w:lineRule="auto"/>
              <w:jc w:val="center"/>
              <w:rPr>
                <w:rFonts w:ascii="宋体" w:hAnsi="宋体"/>
                <w:szCs w:val="21"/>
                <w:lang w:val="zh-CN"/>
              </w:rPr>
            </w:pPr>
          </w:p>
        </w:tc>
        <w:tc>
          <w:tcPr>
            <w:tcW w:w="1572" w:type="dxa"/>
            <w:gridSpan w:val="2"/>
            <w:vAlign w:val="center"/>
          </w:tcPr>
          <w:p>
            <w:pPr>
              <w:autoSpaceDE w:val="0"/>
              <w:autoSpaceDN w:val="0"/>
              <w:adjustRightInd w:val="0"/>
              <w:jc w:val="center"/>
              <w:rPr>
                <w:rFonts w:hint="eastAsia" w:ascii="宋体" w:hAnsi="宋体" w:cs="宋体"/>
                <w:szCs w:val="21"/>
              </w:rPr>
            </w:pPr>
            <w:r>
              <w:rPr>
                <w:rFonts w:hint="eastAsia" w:ascii="宋体" w:hAnsi="宋体"/>
                <w:kern w:val="0"/>
                <w:szCs w:val="21"/>
                <w:lang w:val="zh-CN"/>
              </w:rPr>
              <w:t>免费保修期内售后服务条款偏离情况</w:t>
            </w:r>
          </w:p>
        </w:tc>
        <w:tc>
          <w:tcPr>
            <w:tcW w:w="734" w:type="dxa"/>
            <w:vAlign w:val="center"/>
          </w:tcPr>
          <w:p>
            <w:pPr>
              <w:autoSpaceDE w:val="0"/>
              <w:autoSpaceDN w:val="0"/>
              <w:jc w:val="center"/>
              <w:rPr>
                <w:rFonts w:hint="eastAsia" w:ascii="宋体" w:hAnsi="宋体" w:eastAsia="宋体" w:cs="宋体"/>
                <w:szCs w:val="21"/>
                <w:lang w:eastAsia="zh-CN"/>
              </w:rPr>
            </w:pPr>
            <w:r>
              <w:rPr>
                <w:rFonts w:hint="eastAsia" w:ascii="宋体" w:hAnsi="宋体"/>
                <w:kern w:val="0"/>
                <w:szCs w:val="21"/>
                <w:lang w:val="en-US" w:eastAsia="zh-CN"/>
              </w:rPr>
              <w:t>4</w:t>
            </w:r>
          </w:p>
        </w:tc>
        <w:tc>
          <w:tcPr>
            <w:tcW w:w="4828" w:type="dxa"/>
            <w:vAlign w:val="center"/>
          </w:tcPr>
          <w:p>
            <w:pPr>
              <w:pStyle w:val="17"/>
              <w:numPr>
                <w:ilvl w:val="0"/>
                <w:numId w:val="10"/>
              </w:numPr>
              <w:spacing w:line="320" w:lineRule="exact"/>
              <w:rPr>
                <w:rFonts w:hint="eastAsia" w:ascii="宋体" w:hAnsi="宋体"/>
                <w:b/>
                <w:bCs/>
                <w:sz w:val="21"/>
                <w:szCs w:val="21"/>
                <w:lang w:val="zh-CN"/>
              </w:rPr>
            </w:pPr>
            <w:r>
              <w:rPr>
                <w:rFonts w:hint="eastAsia" w:ascii="宋体" w:hAnsi="宋体"/>
                <w:b/>
                <w:bCs/>
                <w:sz w:val="21"/>
                <w:szCs w:val="21"/>
                <w:lang w:val="zh-CN"/>
              </w:rPr>
              <w:t>评审内容：</w:t>
            </w:r>
          </w:p>
          <w:p>
            <w:pPr>
              <w:pStyle w:val="17"/>
              <w:spacing w:line="320" w:lineRule="exact"/>
              <w:rPr>
                <w:rFonts w:hint="eastAsia" w:ascii="宋体" w:hAnsi="宋体"/>
                <w:sz w:val="21"/>
                <w:szCs w:val="21"/>
                <w:lang w:val="zh-CN"/>
              </w:rPr>
            </w:pPr>
            <w:r>
              <w:rPr>
                <w:rFonts w:hint="eastAsia" w:ascii="宋体" w:hAnsi="宋体"/>
                <w:sz w:val="21"/>
                <w:szCs w:val="21"/>
                <w:lang w:val="zh-CN"/>
              </w:rPr>
              <w:t>投标人应如实填写《商务条款偏离表》中免费保修期内售后服务要求</w:t>
            </w:r>
            <w:r>
              <w:rPr>
                <w:rFonts w:hint="eastAsia"/>
                <w:sz w:val="21"/>
                <w:szCs w:val="21"/>
              </w:rPr>
              <w:t>部分</w:t>
            </w:r>
            <w:r>
              <w:rPr>
                <w:rFonts w:hint="eastAsia" w:ascii="宋体" w:hAnsi="宋体"/>
                <w:sz w:val="21"/>
                <w:szCs w:val="21"/>
                <w:lang w:val="zh-CN"/>
              </w:rPr>
              <w:t>，评审委员会根据响应情况进行打分。</w:t>
            </w:r>
          </w:p>
          <w:p>
            <w:pPr>
              <w:pStyle w:val="17"/>
              <w:numPr>
                <w:ilvl w:val="0"/>
                <w:numId w:val="10"/>
              </w:numPr>
              <w:spacing w:line="320" w:lineRule="exact"/>
              <w:rPr>
                <w:rFonts w:hint="eastAsia" w:ascii="宋体" w:hAnsi="宋体"/>
                <w:b/>
                <w:bCs/>
                <w:sz w:val="21"/>
                <w:szCs w:val="21"/>
                <w:lang w:val="zh-CN"/>
              </w:rPr>
            </w:pPr>
            <w:r>
              <w:rPr>
                <w:rFonts w:hint="eastAsia" w:ascii="宋体" w:hAnsi="宋体"/>
                <w:b/>
                <w:bCs/>
                <w:sz w:val="21"/>
                <w:szCs w:val="21"/>
                <w:lang w:val="zh-CN"/>
              </w:rPr>
              <w:t>评分标准：</w:t>
            </w:r>
          </w:p>
          <w:p>
            <w:pPr>
              <w:pStyle w:val="17"/>
              <w:spacing w:line="320" w:lineRule="exact"/>
              <w:rPr>
                <w:rFonts w:hint="eastAsia"/>
                <w:sz w:val="21"/>
                <w:szCs w:val="21"/>
              </w:rPr>
            </w:pPr>
            <w:r>
              <w:rPr>
                <w:rFonts w:hint="eastAsia" w:ascii="宋体" w:hAnsi="宋体"/>
                <w:bCs/>
                <w:sz w:val="21"/>
                <w:szCs w:val="21"/>
              </w:rPr>
              <w:t>全部满足要求的得</w:t>
            </w:r>
            <w:r>
              <w:rPr>
                <w:rFonts w:hint="eastAsia" w:ascii="宋体" w:hAnsi="宋体"/>
                <w:b/>
                <w:bCs/>
                <w:sz w:val="21"/>
                <w:szCs w:val="21"/>
                <w:lang w:val="zh-CN"/>
              </w:rPr>
              <w:t>100分</w:t>
            </w:r>
            <w:r>
              <w:rPr>
                <w:rFonts w:hint="eastAsia" w:ascii="宋体" w:hAnsi="宋体"/>
                <w:bCs/>
                <w:sz w:val="21"/>
                <w:szCs w:val="21"/>
              </w:rPr>
              <w:t>，每负偏离一项扣</w:t>
            </w:r>
            <w:r>
              <w:rPr>
                <w:rFonts w:hint="eastAsia" w:ascii="宋体" w:hAnsi="宋体"/>
                <w:b/>
                <w:bCs/>
                <w:sz w:val="21"/>
                <w:szCs w:val="21"/>
              </w:rPr>
              <w:t>20</w:t>
            </w:r>
            <w:r>
              <w:rPr>
                <w:rFonts w:hint="eastAsia" w:ascii="宋体" w:hAnsi="宋体"/>
                <w:b/>
                <w:bCs/>
                <w:sz w:val="21"/>
                <w:szCs w:val="21"/>
                <w:lang w:val="zh-CN"/>
              </w:rPr>
              <w:t>分，扣完为止</w:t>
            </w:r>
            <w:r>
              <w:rPr>
                <w:rFonts w:hint="eastAsia" w:ascii="宋体" w:hAnsi="宋体"/>
                <w:bCs/>
                <w:sz w:val="21"/>
                <w:szCs w:val="21"/>
              </w:rPr>
              <w:t>。</w:t>
            </w:r>
          </w:p>
        </w:tc>
        <w:tc>
          <w:tcPr>
            <w:tcW w:w="1760"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687" w:type="dxa"/>
            <w:vAlign w:val="center"/>
          </w:tcPr>
          <w:p>
            <w:pPr>
              <w:autoSpaceDE w:val="0"/>
              <w:autoSpaceDN w:val="0"/>
              <w:adjustRightInd w:val="0"/>
              <w:jc w:val="center"/>
              <w:rPr>
                <w:rFonts w:ascii="宋体" w:hAnsi="宋体"/>
                <w:szCs w:val="21"/>
                <w:lang w:val="zh-CN"/>
              </w:rPr>
            </w:pPr>
            <w:r>
              <w:rPr>
                <w:rFonts w:hint="eastAsia" w:ascii="宋体" w:hAnsi="宋体"/>
                <w:szCs w:val="21"/>
              </w:rPr>
              <w:t>2</w:t>
            </w:r>
          </w:p>
        </w:tc>
        <w:tc>
          <w:tcPr>
            <w:tcW w:w="1572" w:type="dxa"/>
            <w:gridSpan w:val="2"/>
            <w:vAlign w:val="center"/>
          </w:tcPr>
          <w:p>
            <w:pPr>
              <w:jc w:val="center"/>
              <w:rPr>
                <w:rFonts w:hint="eastAsia" w:ascii="宋体" w:hAnsi="宋体" w:cs="宋体"/>
                <w:szCs w:val="21"/>
              </w:rPr>
            </w:pPr>
            <w:r>
              <w:rPr>
                <w:rFonts w:hint="eastAsia" w:ascii="宋体" w:hAnsi="宋体"/>
                <w:szCs w:val="21"/>
              </w:rPr>
              <w:t>免费保修期外售后服务条款偏离情况</w:t>
            </w:r>
          </w:p>
        </w:tc>
        <w:tc>
          <w:tcPr>
            <w:tcW w:w="734" w:type="dxa"/>
            <w:vAlign w:val="center"/>
          </w:tcPr>
          <w:p>
            <w:pPr>
              <w:autoSpaceDE w:val="0"/>
              <w:autoSpaceDN w:val="0"/>
              <w:jc w:val="center"/>
              <w:rPr>
                <w:rFonts w:hint="eastAsia" w:ascii="宋体" w:hAnsi="宋体" w:eastAsia="宋体" w:cs="宋体"/>
                <w:szCs w:val="21"/>
                <w:lang w:eastAsia="zh-CN"/>
              </w:rPr>
            </w:pPr>
            <w:r>
              <w:rPr>
                <w:rFonts w:hint="eastAsia" w:ascii="宋体" w:hAnsi="宋体"/>
                <w:kern w:val="0"/>
                <w:szCs w:val="21"/>
                <w:lang w:val="en-US" w:eastAsia="zh-CN"/>
              </w:rPr>
              <w:t>4</w:t>
            </w:r>
          </w:p>
        </w:tc>
        <w:tc>
          <w:tcPr>
            <w:tcW w:w="4828" w:type="dxa"/>
            <w:vAlign w:val="center"/>
          </w:tcPr>
          <w:p>
            <w:pPr>
              <w:numPr>
                <w:ilvl w:val="0"/>
                <w:numId w:val="11"/>
              </w:numPr>
              <w:jc w:val="left"/>
              <w:rPr>
                <w:rFonts w:hint="eastAsia" w:ascii="宋体" w:hAnsi="宋体"/>
                <w:b/>
                <w:szCs w:val="21"/>
              </w:rPr>
            </w:pPr>
            <w:r>
              <w:rPr>
                <w:rFonts w:hint="eastAsia" w:ascii="宋体" w:hAnsi="宋体"/>
                <w:b/>
                <w:szCs w:val="21"/>
              </w:rPr>
              <w:t>评审内容：</w:t>
            </w:r>
          </w:p>
          <w:p>
            <w:pPr>
              <w:jc w:val="left"/>
              <w:rPr>
                <w:rFonts w:hint="eastAsia" w:ascii="宋体" w:hAnsi="宋体"/>
                <w:bCs/>
                <w:szCs w:val="21"/>
              </w:rPr>
            </w:pPr>
            <w:r>
              <w:rPr>
                <w:rFonts w:hint="eastAsia" w:ascii="宋体" w:hAnsi="宋体"/>
                <w:bCs/>
                <w:szCs w:val="21"/>
              </w:rPr>
              <w:t>投标人应如实填写</w:t>
            </w:r>
            <w:r>
              <w:rPr>
                <w:rFonts w:hint="eastAsia" w:ascii="宋体" w:hAnsi="宋体"/>
                <w:szCs w:val="21"/>
                <w:lang w:val="zh-CN"/>
              </w:rPr>
              <w:t>《商务条款偏离表》中免费保修期外售后服务要求</w:t>
            </w:r>
            <w:r>
              <w:rPr>
                <w:rFonts w:hint="eastAsia"/>
              </w:rPr>
              <w:t>部分</w:t>
            </w:r>
            <w:r>
              <w:rPr>
                <w:rFonts w:hint="eastAsia" w:ascii="宋体" w:hAnsi="宋体"/>
                <w:bCs/>
                <w:szCs w:val="21"/>
              </w:rPr>
              <w:t>，</w:t>
            </w:r>
            <w:r>
              <w:rPr>
                <w:rFonts w:hint="eastAsia" w:ascii="宋体" w:hAnsi="宋体" w:cs="宋体"/>
                <w:szCs w:val="21"/>
              </w:rPr>
              <w:t>评标委员会</w:t>
            </w:r>
            <w:r>
              <w:rPr>
                <w:rFonts w:hint="eastAsia" w:ascii="宋体" w:hAnsi="宋体"/>
                <w:bCs/>
                <w:szCs w:val="21"/>
              </w:rPr>
              <w:t>根据响应情况进行打分。</w:t>
            </w:r>
          </w:p>
          <w:p>
            <w:pPr>
              <w:jc w:val="left"/>
              <w:rPr>
                <w:rFonts w:hint="eastAsia" w:ascii="宋体" w:hAnsi="宋体"/>
                <w:b/>
                <w:szCs w:val="21"/>
              </w:rPr>
            </w:pPr>
            <w:r>
              <w:rPr>
                <w:rFonts w:hint="eastAsia" w:ascii="宋体" w:hAnsi="宋体"/>
                <w:b/>
                <w:szCs w:val="21"/>
              </w:rPr>
              <w:t>2.评分标准：</w:t>
            </w:r>
          </w:p>
          <w:p>
            <w:pPr>
              <w:jc w:val="left"/>
              <w:rPr>
                <w:rFonts w:hint="eastAsia"/>
                <w:szCs w:val="21"/>
              </w:rPr>
            </w:pPr>
            <w:r>
              <w:rPr>
                <w:rFonts w:hint="eastAsia" w:ascii="宋体" w:hAnsi="宋体"/>
                <w:bCs/>
                <w:szCs w:val="21"/>
              </w:rPr>
              <w:t>全部满足要求的得</w:t>
            </w:r>
            <w:r>
              <w:rPr>
                <w:rFonts w:hint="eastAsia" w:ascii="宋体" w:hAnsi="宋体"/>
                <w:b/>
                <w:bCs/>
                <w:szCs w:val="21"/>
                <w:lang w:val="zh-CN"/>
              </w:rPr>
              <w:t>100分</w:t>
            </w:r>
            <w:r>
              <w:rPr>
                <w:rFonts w:hint="eastAsia" w:ascii="宋体" w:hAnsi="宋体"/>
                <w:bCs/>
                <w:szCs w:val="21"/>
              </w:rPr>
              <w:t>，每负偏离一项扣</w:t>
            </w:r>
            <w:r>
              <w:rPr>
                <w:rFonts w:hint="eastAsia" w:ascii="宋体" w:hAnsi="宋体"/>
                <w:b/>
                <w:bCs/>
                <w:szCs w:val="21"/>
              </w:rPr>
              <w:t>20</w:t>
            </w:r>
            <w:r>
              <w:rPr>
                <w:rFonts w:hint="eastAsia" w:ascii="宋体" w:hAnsi="宋体"/>
                <w:b/>
                <w:bCs/>
                <w:szCs w:val="21"/>
                <w:lang w:val="zh-CN"/>
              </w:rPr>
              <w:t>分，扣完为止</w:t>
            </w:r>
            <w:r>
              <w:rPr>
                <w:rFonts w:hint="eastAsia" w:ascii="宋体" w:hAnsi="宋体"/>
                <w:bCs/>
                <w:szCs w:val="21"/>
              </w:rPr>
              <w:t>。</w:t>
            </w:r>
          </w:p>
        </w:tc>
        <w:tc>
          <w:tcPr>
            <w:tcW w:w="1760"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687" w:type="dxa"/>
            <w:vAlign w:val="center"/>
          </w:tcPr>
          <w:p>
            <w:pPr>
              <w:autoSpaceDE w:val="0"/>
              <w:autoSpaceDN w:val="0"/>
              <w:adjustRightInd w:val="0"/>
              <w:jc w:val="center"/>
              <w:rPr>
                <w:rFonts w:ascii="宋体" w:hAnsi="宋体"/>
                <w:szCs w:val="21"/>
                <w:lang w:val="zh-CN"/>
              </w:rPr>
            </w:pPr>
            <w:r>
              <w:rPr>
                <w:rFonts w:hint="eastAsia" w:ascii="宋体" w:hAnsi="宋体"/>
                <w:szCs w:val="21"/>
              </w:rPr>
              <w:t>3</w:t>
            </w:r>
          </w:p>
        </w:tc>
        <w:tc>
          <w:tcPr>
            <w:tcW w:w="1572" w:type="dxa"/>
            <w:gridSpan w:val="2"/>
            <w:vAlign w:val="center"/>
          </w:tcPr>
          <w:p>
            <w:pPr>
              <w:jc w:val="center"/>
              <w:rPr>
                <w:rFonts w:hint="eastAsia" w:ascii="宋体" w:hAnsi="宋体" w:cs="宋体"/>
                <w:szCs w:val="21"/>
              </w:rPr>
            </w:pPr>
            <w:r>
              <w:rPr>
                <w:rFonts w:hint="eastAsia" w:ascii="宋体" w:hAnsi="宋体"/>
                <w:szCs w:val="21"/>
              </w:rPr>
              <w:t>其他商务条款偏离情况</w:t>
            </w:r>
          </w:p>
        </w:tc>
        <w:tc>
          <w:tcPr>
            <w:tcW w:w="734" w:type="dxa"/>
            <w:vAlign w:val="center"/>
          </w:tcPr>
          <w:p>
            <w:pPr>
              <w:autoSpaceDE w:val="0"/>
              <w:autoSpaceDN w:val="0"/>
              <w:jc w:val="center"/>
              <w:rPr>
                <w:rFonts w:hint="eastAsia" w:ascii="宋体" w:hAnsi="宋体" w:cs="宋体"/>
                <w:szCs w:val="21"/>
              </w:rPr>
            </w:pPr>
            <w:r>
              <w:rPr>
                <w:rFonts w:hint="eastAsia" w:ascii="宋体" w:hAnsi="宋体"/>
                <w:kern w:val="0"/>
                <w:szCs w:val="21"/>
                <w:lang w:val="en-US" w:eastAsia="zh-CN"/>
              </w:rPr>
              <w:t>2</w:t>
            </w:r>
          </w:p>
        </w:tc>
        <w:tc>
          <w:tcPr>
            <w:tcW w:w="4828" w:type="dxa"/>
            <w:vAlign w:val="center"/>
          </w:tcPr>
          <w:p>
            <w:pPr>
              <w:jc w:val="left"/>
              <w:rPr>
                <w:rFonts w:hint="eastAsia" w:ascii="宋体" w:hAnsi="宋体"/>
                <w:b/>
                <w:szCs w:val="21"/>
              </w:rPr>
            </w:pPr>
            <w:r>
              <w:rPr>
                <w:rFonts w:hint="eastAsia" w:ascii="宋体" w:hAnsi="宋体"/>
                <w:b/>
                <w:szCs w:val="21"/>
              </w:rPr>
              <w:t>1.评审内容：</w:t>
            </w:r>
          </w:p>
          <w:p>
            <w:pPr>
              <w:jc w:val="left"/>
              <w:rPr>
                <w:rFonts w:hint="eastAsia" w:ascii="宋体" w:hAnsi="宋体"/>
                <w:bCs/>
                <w:szCs w:val="21"/>
              </w:rPr>
            </w:pPr>
            <w:r>
              <w:rPr>
                <w:rFonts w:hint="eastAsia" w:ascii="宋体" w:hAnsi="宋体"/>
                <w:bCs/>
                <w:szCs w:val="21"/>
              </w:rPr>
              <w:t>投标人应如实填写《商务条款偏离表》中其他商务要求部分，</w:t>
            </w:r>
            <w:r>
              <w:rPr>
                <w:rFonts w:hint="eastAsia" w:ascii="宋体" w:hAnsi="宋体" w:cs="宋体"/>
                <w:szCs w:val="21"/>
              </w:rPr>
              <w:t>评标委员会</w:t>
            </w:r>
            <w:r>
              <w:rPr>
                <w:rFonts w:hint="eastAsia" w:ascii="宋体" w:hAnsi="宋体"/>
                <w:bCs/>
                <w:szCs w:val="21"/>
              </w:rPr>
              <w:t>根据响应情况进行打分。</w:t>
            </w:r>
          </w:p>
          <w:p>
            <w:pPr>
              <w:jc w:val="left"/>
              <w:rPr>
                <w:rFonts w:hint="eastAsia" w:ascii="宋体" w:hAnsi="宋体"/>
                <w:bCs/>
                <w:szCs w:val="21"/>
              </w:rPr>
            </w:pPr>
            <w:r>
              <w:rPr>
                <w:rFonts w:hint="eastAsia" w:ascii="宋体" w:hAnsi="宋体"/>
                <w:b/>
                <w:szCs w:val="21"/>
              </w:rPr>
              <w:t>2.评分标准：</w:t>
            </w:r>
          </w:p>
          <w:p>
            <w:pPr>
              <w:jc w:val="left"/>
              <w:rPr>
                <w:rFonts w:hint="eastAsia"/>
                <w:szCs w:val="21"/>
              </w:rPr>
            </w:pPr>
            <w:r>
              <w:rPr>
                <w:rFonts w:hint="eastAsia" w:ascii="宋体" w:hAnsi="宋体"/>
                <w:bCs/>
                <w:szCs w:val="21"/>
              </w:rPr>
              <w:t>全部满足要求的得</w:t>
            </w:r>
            <w:r>
              <w:rPr>
                <w:rFonts w:hint="eastAsia" w:ascii="宋体" w:hAnsi="宋体"/>
                <w:b/>
                <w:bCs/>
                <w:szCs w:val="21"/>
                <w:lang w:val="zh-CN"/>
              </w:rPr>
              <w:t>100分</w:t>
            </w:r>
            <w:r>
              <w:rPr>
                <w:rFonts w:hint="eastAsia" w:ascii="宋体" w:hAnsi="宋体"/>
                <w:bCs/>
                <w:szCs w:val="21"/>
              </w:rPr>
              <w:t>，每负偏离一项扣</w:t>
            </w:r>
            <w:r>
              <w:rPr>
                <w:rFonts w:hint="eastAsia" w:ascii="宋体" w:hAnsi="宋体"/>
                <w:b/>
                <w:bCs/>
                <w:szCs w:val="21"/>
              </w:rPr>
              <w:t>8</w:t>
            </w:r>
            <w:r>
              <w:rPr>
                <w:rFonts w:hint="eastAsia" w:ascii="宋体" w:hAnsi="宋体"/>
                <w:b/>
                <w:bCs/>
                <w:szCs w:val="21"/>
                <w:lang w:val="zh-CN"/>
              </w:rPr>
              <w:t>分，扣完为止</w:t>
            </w:r>
            <w:r>
              <w:rPr>
                <w:rFonts w:hint="eastAsia" w:ascii="宋体" w:hAnsi="宋体"/>
                <w:bCs/>
                <w:szCs w:val="21"/>
              </w:rPr>
              <w:t>。</w:t>
            </w:r>
          </w:p>
        </w:tc>
        <w:tc>
          <w:tcPr>
            <w:tcW w:w="1760"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821" w:type="dxa"/>
            <w:gridSpan w:val="5"/>
            <w:vAlign w:val="center"/>
          </w:tcPr>
          <w:p>
            <w:pPr>
              <w:autoSpaceDE w:val="0"/>
              <w:autoSpaceDN w:val="0"/>
              <w:jc w:val="center"/>
              <w:rPr>
                <w:rFonts w:hint="eastAsia" w:ascii="宋体" w:hAnsi="宋体"/>
                <w:szCs w:val="21"/>
              </w:rPr>
            </w:pPr>
            <w:r>
              <w:rPr>
                <w:rFonts w:hint="eastAsia" w:ascii="宋体" w:hAnsi="宋体"/>
                <w:b/>
                <w:bCs/>
                <w:szCs w:val="21"/>
                <w:lang w:val="zh-CN"/>
              </w:rPr>
              <w:t>四、诚信情况</w:t>
            </w:r>
          </w:p>
        </w:tc>
        <w:tc>
          <w:tcPr>
            <w:tcW w:w="1760" w:type="dxa"/>
            <w:tcBorders>
              <w:top w:val="single" w:color="auto" w:sz="4" w:space="0"/>
              <w:bottom w:val="single" w:color="auto" w:sz="4" w:space="0"/>
            </w:tcBorders>
            <w:vAlign w:val="center"/>
          </w:tcPr>
          <w:p>
            <w:pPr>
              <w:autoSpaceDE w:val="0"/>
              <w:autoSpaceDN w:val="0"/>
              <w:jc w:val="center"/>
              <w:rPr>
                <w:rFonts w:hint="eastAsia" w:ascii="宋体" w:hAnsi="宋体"/>
                <w:szCs w:val="21"/>
              </w:rPr>
            </w:pPr>
            <w:r>
              <w:rPr>
                <w:rFonts w:hint="eastAsia" w:ascii="宋体" w:hAnsi="宋体"/>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7" w:type="dxa"/>
            <w:vAlign w:val="center"/>
          </w:tcPr>
          <w:p>
            <w:pPr>
              <w:autoSpaceDE w:val="0"/>
              <w:autoSpaceDN w:val="0"/>
              <w:jc w:val="center"/>
              <w:rPr>
                <w:rFonts w:hint="eastAsia" w:ascii="宋体" w:hAnsi="宋体"/>
                <w:szCs w:val="21"/>
              </w:rPr>
            </w:pPr>
            <w:r>
              <w:rPr>
                <w:rFonts w:hint="eastAsia" w:ascii="宋体" w:hAnsi="宋体"/>
                <w:szCs w:val="21"/>
                <w:lang w:val="zh-CN"/>
              </w:rPr>
              <w:t>序号</w:t>
            </w:r>
          </w:p>
        </w:tc>
        <w:tc>
          <w:tcPr>
            <w:tcW w:w="1499" w:type="dxa"/>
            <w:vAlign w:val="center"/>
          </w:tcPr>
          <w:p>
            <w:pPr>
              <w:autoSpaceDE w:val="0"/>
              <w:autoSpaceDN w:val="0"/>
              <w:jc w:val="center"/>
              <w:rPr>
                <w:rFonts w:hint="eastAsia" w:ascii="宋体" w:hAnsi="宋体"/>
                <w:szCs w:val="21"/>
                <w:lang w:val="zh-CN"/>
              </w:rPr>
            </w:pPr>
            <w:r>
              <w:rPr>
                <w:rFonts w:hint="eastAsia" w:ascii="宋体" w:hAnsi="宋体"/>
                <w:szCs w:val="21"/>
                <w:lang w:val="zh-CN"/>
              </w:rPr>
              <w:t>内容</w:t>
            </w:r>
          </w:p>
        </w:tc>
        <w:tc>
          <w:tcPr>
            <w:tcW w:w="807" w:type="dxa"/>
            <w:gridSpan w:val="2"/>
            <w:tcBorders>
              <w:top w:val="single" w:color="auto" w:sz="4" w:space="0"/>
              <w:bottom w:val="single" w:color="auto" w:sz="4" w:space="0"/>
            </w:tcBorders>
            <w:vAlign w:val="center"/>
          </w:tcPr>
          <w:p>
            <w:pPr>
              <w:autoSpaceDE w:val="0"/>
              <w:autoSpaceDN w:val="0"/>
              <w:jc w:val="center"/>
              <w:rPr>
                <w:rFonts w:hint="eastAsia" w:ascii="宋体" w:hAnsi="宋体" w:cs="宋体"/>
                <w:szCs w:val="21"/>
              </w:rPr>
            </w:pPr>
            <w:r>
              <w:rPr>
                <w:rFonts w:hint="eastAsia" w:ascii="宋体" w:hAnsi="宋体"/>
                <w:szCs w:val="21"/>
                <w:lang w:val="zh-CN"/>
              </w:rPr>
              <w:t>权重（</w:t>
            </w:r>
            <w:r>
              <w:rPr>
                <w:rFonts w:hint="eastAsia" w:ascii="宋体" w:hAnsi="宋体"/>
                <w:szCs w:val="21"/>
              </w:rPr>
              <w:t>%</w:t>
            </w:r>
            <w:r>
              <w:rPr>
                <w:rFonts w:hint="eastAsia" w:ascii="宋体" w:hAnsi="宋体"/>
                <w:szCs w:val="21"/>
                <w:lang w:val="zh-CN"/>
              </w:rPr>
              <w:t>）</w:t>
            </w:r>
          </w:p>
        </w:tc>
        <w:tc>
          <w:tcPr>
            <w:tcW w:w="4828" w:type="dxa"/>
            <w:tcBorders>
              <w:top w:val="single" w:color="auto" w:sz="4" w:space="0"/>
              <w:bottom w:val="single" w:color="auto" w:sz="4" w:space="0"/>
            </w:tcBorders>
            <w:vAlign w:val="center"/>
          </w:tcPr>
          <w:p>
            <w:pPr>
              <w:autoSpaceDE w:val="0"/>
              <w:autoSpaceDN w:val="0"/>
              <w:jc w:val="center"/>
              <w:rPr>
                <w:rFonts w:hint="eastAsia" w:ascii="宋体" w:hAnsi="宋体"/>
                <w:szCs w:val="21"/>
              </w:rPr>
            </w:pPr>
            <w:r>
              <w:rPr>
                <w:rFonts w:hint="eastAsia" w:ascii="宋体" w:hAnsi="宋体"/>
                <w:szCs w:val="21"/>
                <w:lang w:val="zh-CN"/>
              </w:rPr>
              <w:t>评分规则</w:t>
            </w:r>
          </w:p>
        </w:tc>
        <w:tc>
          <w:tcPr>
            <w:tcW w:w="1760" w:type="dxa"/>
            <w:tcBorders>
              <w:top w:val="single" w:color="auto" w:sz="4" w:space="0"/>
              <w:bottom w:val="single" w:color="auto" w:sz="4" w:space="0"/>
            </w:tcBorders>
            <w:vAlign w:val="center"/>
          </w:tcPr>
          <w:p>
            <w:pPr>
              <w:autoSpaceDE w:val="0"/>
              <w:autoSpaceDN w:val="0"/>
              <w:jc w:val="center"/>
              <w:rPr>
                <w:rFonts w:hint="eastAsia" w:ascii="宋体" w:hAnsi="宋体"/>
                <w:szCs w:val="21"/>
                <w:lang w:val="zh-CN"/>
              </w:rPr>
            </w:pPr>
            <w:r>
              <w:rPr>
                <w:rFonts w:hint="eastAsia" w:ascii="宋体" w:hAnsi="宋体"/>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687" w:type="dxa"/>
            <w:vAlign w:val="center"/>
          </w:tcPr>
          <w:p>
            <w:pPr>
              <w:autoSpaceDE w:val="0"/>
              <w:autoSpaceDN w:val="0"/>
              <w:jc w:val="center"/>
              <w:rPr>
                <w:rFonts w:hint="eastAsia" w:ascii="宋体" w:hAnsi="宋体"/>
                <w:szCs w:val="21"/>
              </w:rPr>
            </w:pPr>
            <w:r>
              <w:rPr>
                <w:rFonts w:hint="eastAsia" w:ascii="宋体" w:hAnsi="宋体"/>
                <w:szCs w:val="21"/>
              </w:rPr>
              <w:t>1</w:t>
            </w:r>
          </w:p>
        </w:tc>
        <w:tc>
          <w:tcPr>
            <w:tcW w:w="1499" w:type="dxa"/>
            <w:vAlign w:val="center"/>
          </w:tcPr>
          <w:p>
            <w:pPr>
              <w:autoSpaceDE w:val="0"/>
              <w:autoSpaceDN w:val="0"/>
              <w:spacing w:line="320" w:lineRule="exact"/>
              <w:jc w:val="center"/>
              <w:rPr>
                <w:rFonts w:hint="eastAsia" w:ascii="宋体" w:hAnsi="宋体"/>
                <w:szCs w:val="21"/>
                <w:lang w:val="zh-CN"/>
              </w:rPr>
            </w:pPr>
            <w:r>
              <w:rPr>
                <w:rFonts w:hint="eastAsia" w:ascii="宋体" w:hAnsi="宋体"/>
                <w:szCs w:val="21"/>
              </w:rPr>
              <w:t>诚信</w:t>
            </w:r>
          </w:p>
        </w:tc>
        <w:tc>
          <w:tcPr>
            <w:tcW w:w="807" w:type="dxa"/>
            <w:gridSpan w:val="2"/>
            <w:tcBorders>
              <w:top w:val="single" w:color="auto" w:sz="4" w:space="0"/>
              <w:bottom w:val="single" w:color="auto" w:sz="4" w:space="0"/>
            </w:tcBorders>
            <w:vAlign w:val="center"/>
          </w:tcPr>
          <w:p>
            <w:pPr>
              <w:autoSpaceDE w:val="0"/>
              <w:autoSpaceDN w:val="0"/>
              <w:spacing w:line="320" w:lineRule="exact"/>
              <w:jc w:val="center"/>
              <w:rPr>
                <w:rFonts w:hint="eastAsia" w:ascii="宋体" w:hAnsi="宋体" w:cs="宋体"/>
                <w:szCs w:val="21"/>
              </w:rPr>
            </w:pPr>
            <w:r>
              <w:rPr>
                <w:rFonts w:hint="eastAsia" w:ascii="宋体" w:hAnsi="宋体"/>
                <w:szCs w:val="21"/>
              </w:rPr>
              <w:t>5</w:t>
            </w:r>
          </w:p>
        </w:tc>
        <w:tc>
          <w:tcPr>
            <w:tcW w:w="4828" w:type="dxa"/>
            <w:tcBorders>
              <w:top w:val="single" w:color="auto" w:sz="4" w:space="0"/>
              <w:bottom w:val="single" w:color="auto" w:sz="4" w:space="0"/>
            </w:tcBorders>
            <w:vAlign w:val="center"/>
          </w:tcPr>
          <w:p>
            <w:pPr>
              <w:autoSpaceDE w:val="0"/>
              <w:autoSpaceDN w:val="0"/>
              <w:spacing w:line="320" w:lineRule="exact"/>
              <w:rPr>
                <w:rFonts w:hint="eastAsia" w:ascii="宋体" w:hAnsi="宋体"/>
                <w:szCs w:val="21"/>
              </w:rPr>
            </w:pPr>
            <w:r>
              <w:rPr>
                <w:szCs w:val="21"/>
              </w:rPr>
              <w:t>投标人在参与政府采购活动中存在被记入诚信档案的情形（被禁止参与政府采购活动除外）且在主管部门相关处理措施实施期限内的，本项不得分，否则得满分。投标人无需提供任何证明材料，由工作人员向评审委员会提供相关信息。</w:t>
            </w:r>
          </w:p>
        </w:tc>
        <w:tc>
          <w:tcPr>
            <w:tcW w:w="1760" w:type="dxa"/>
            <w:tcBorders>
              <w:top w:val="single" w:color="auto" w:sz="4" w:space="0"/>
              <w:bottom w:val="single" w:color="auto" w:sz="4" w:space="0"/>
            </w:tcBorders>
            <w:vAlign w:val="center"/>
          </w:tcPr>
          <w:p>
            <w:pPr>
              <w:autoSpaceDE w:val="0"/>
              <w:autoSpaceDN w:val="0"/>
              <w:spacing w:line="320" w:lineRule="exact"/>
              <w:jc w:val="center"/>
              <w:rPr>
                <w:rFonts w:hint="eastAsia" w:ascii="宋体" w:hAnsi="宋体"/>
                <w:szCs w:val="21"/>
                <w:lang w:val="zh-CN"/>
              </w:rPr>
            </w:pPr>
            <w:r>
              <w:rPr>
                <w:rFonts w:hint="eastAsia" w:ascii="宋体" w:hAnsi="宋体"/>
                <w:szCs w:val="21"/>
              </w:rPr>
              <w:t>专家打分</w:t>
            </w:r>
          </w:p>
        </w:tc>
      </w:tr>
      <w:bookmarkEnd w:id="2"/>
    </w:tbl>
    <w:p>
      <w:pPr>
        <w:sectPr>
          <w:pgSz w:w="11907" w:h="16840"/>
          <w:pgMar w:top="1440" w:right="1418" w:bottom="1440" w:left="1418" w:header="851" w:footer="992" w:gutter="0"/>
          <w:cols w:space="425" w:num="1"/>
          <w:titlePg/>
          <w:docGrid w:linePitch="462" w:charSpace="0"/>
        </w:sectPr>
      </w:pPr>
    </w:p>
    <w:p/>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
    <w:p/>
    <w:p/>
    <w:p/>
    <w:p/>
    <w:p/>
    <w:p>
      <w:pPr>
        <w:jc w:val="center"/>
        <w:rPr>
          <w:b/>
          <w:sz w:val="44"/>
          <w:szCs w:val="44"/>
        </w:rPr>
      </w:pPr>
      <w:bookmarkStart w:id="3" w:name="_Hlk71465316"/>
      <w:r>
        <w:rPr>
          <w:rFonts w:hint="eastAsia"/>
          <w:b/>
          <w:sz w:val="44"/>
          <w:szCs w:val="44"/>
        </w:rPr>
        <w:t>深圳公共资源交易中心</w:t>
      </w:r>
    </w:p>
    <w:p>
      <w:pPr>
        <w:jc w:val="center"/>
        <w:rPr>
          <w:b/>
          <w:sz w:val="44"/>
          <w:szCs w:val="44"/>
        </w:rPr>
      </w:pPr>
      <w:r>
        <w:rPr>
          <w:rFonts w:hint="eastAsia"/>
          <w:b/>
          <w:sz w:val="44"/>
          <w:szCs w:val="44"/>
        </w:rPr>
        <w:t>（</w:t>
      </w:r>
      <w:r>
        <w:rPr>
          <w:b/>
          <w:sz w:val="44"/>
          <w:szCs w:val="44"/>
        </w:rPr>
        <w:t>20</w:t>
      </w:r>
      <w:r>
        <w:rPr>
          <w:rFonts w:hint="eastAsia"/>
          <w:b/>
          <w:sz w:val="44"/>
          <w:szCs w:val="44"/>
        </w:rPr>
        <w:t>2</w:t>
      </w:r>
      <w:r>
        <w:rPr>
          <w:b/>
          <w:sz w:val="44"/>
          <w:szCs w:val="44"/>
        </w:rPr>
        <w:t>1</w:t>
      </w:r>
      <w:r>
        <w:rPr>
          <w:rFonts w:hint="eastAsia"/>
          <w:b/>
          <w:sz w:val="44"/>
          <w:szCs w:val="44"/>
        </w:rPr>
        <w:t>）</w:t>
      </w:r>
      <w:bookmarkEnd w:id="3"/>
    </w:p>
    <w:p>
      <w:pPr>
        <w:ind w:firstLine="435"/>
        <w:jc w:val="left"/>
      </w:pPr>
    </w:p>
    <w:p>
      <w:pPr>
        <w:widowControl/>
        <w:jc w:val="left"/>
      </w:pPr>
      <w:r>
        <w:br w:type="page"/>
      </w:r>
    </w:p>
    <w:p>
      <w:pPr>
        <w:ind w:firstLine="3654" w:firstLineChars="1300"/>
        <w:rPr>
          <w:rFonts w:ascii="宋体" w:hAnsi="宋体"/>
          <w:color w:val="FF0000"/>
          <w:szCs w:val="21"/>
        </w:rPr>
      </w:pPr>
      <w:bookmarkStart w:id="4" w:name="_Hlk73564573"/>
      <w:r>
        <w:rPr>
          <w:rFonts w:hint="eastAsia" w:ascii="宋体" w:hAnsi="宋体" w:eastAsia="黑体"/>
          <w:b/>
          <w:bCs/>
          <w:color w:val="FF0000"/>
          <w:kern w:val="44"/>
          <w:sz w:val="28"/>
          <w:szCs w:val="44"/>
        </w:rPr>
        <w:t>警示条款</w:t>
      </w:r>
    </w:p>
    <w:p>
      <w:pPr>
        <w:ind w:firstLine="400" w:firstLineChars="200"/>
        <w:rPr>
          <w:rFonts w:ascii="宋体" w:hAnsi="宋体"/>
          <w:color w:val="FF0000"/>
          <w:sz w:val="20"/>
          <w:szCs w:val="20"/>
        </w:rPr>
      </w:pPr>
      <w:r>
        <w:rPr>
          <w:rFonts w:hint="eastAsia" w:ascii="宋体" w:hAnsi="宋体"/>
          <w:color w:val="FF0000"/>
          <w:sz w:val="20"/>
          <w:szCs w:val="20"/>
        </w:rPr>
        <w:t>一、</w:t>
      </w:r>
      <w:r>
        <w:rPr>
          <w:rFonts w:hint="eastAsia" w:ascii="宋体" w:hAnsi="宋体"/>
          <w:b/>
          <w:bCs/>
          <w:color w:val="FF0000"/>
          <w:sz w:val="20"/>
          <w:szCs w:val="20"/>
        </w:rPr>
        <w:t>《深圳经济特区政府采购条例》第五十七条</w:t>
      </w:r>
      <w:r>
        <w:rPr>
          <w:rFonts w:hint="eastAsia" w:ascii="宋体" w:hAnsi="宋体"/>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00" w:firstLineChars="200"/>
        <w:rPr>
          <w:rFonts w:ascii="宋体" w:hAnsi="宋体"/>
          <w:color w:val="FF0000"/>
          <w:sz w:val="20"/>
          <w:szCs w:val="20"/>
        </w:rPr>
      </w:pPr>
      <w:r>
        <w:rPr>
          <w:rFonts w:hint="eastAsia" w:ascii="宋体" w:hAnsi="宋体"/>
          <w:color w:val="FF0000"/>
          <w:sz w:val="20"/>
          <w:szCs w:val="20"/>
        </w:rPr>
        <w:t>（一）在采购活动中应当回避而未回避的；</w:t>
      </w:r>
    </w:p>
    <w:p>
      <w:pPr>
        <w:ind w:firstLine="400" w:firstLineChars="200"/>
        <w:rPr>
          <w:rFonts w:ascii="宋体" w:hAnsi="宋体"/>
          <w:color w:val="FF0000"/>
          <w:sz w:val="20"/>
          <w:szCs w:val="20"/>
        </w:rPr>
      </w:pPr>
      <w:r>
        <w:rPr>
          <w:rFonts w:hint="eastAsia" w:ascii="宋体" w:hAnsi="宋体"/>
          <w:color w:val="FF0000"/>
          <w:sz w:val="20"/>
          <w:szCs w:val="20"/>
        </w:rPr>
        <w:t>（二）未按本条例规定签订、履行采购合同，造成严重后果的；</w:t>
      </w:r>
    </w:p>
    <w:p>
      <w:pPr>
        <w:ind w:firstLine="400" w:firstLineChars="200"/>
        <w:rPr>
          <w:rFonts w:ascii="宋体" w:hAnsi="宋体"/>
          <w:color w:val="FF0000"/>
          <w:sz w:val="20"/>
          <w:szCs w:val="20"/>
        </w:rPr>
      </w:pPr>
      <w:r>
        <w:rPr>
          <w:rFonts w:hint="eastAsia" w:ascii="宋体" w:hAnsi="宋体"/>
          <w:color w:val="FF0000"/>
          <w:sz w:val="20"/>
          <w:szCs w:val="20"/>
        </w:rPr>
        <w:t>（三）隐瞒真实情况，提供虚假资料的；</w:t>
      </w:r>
    </w:p>
    <w:p>
      <w:pPr>
        <w:ind w:firstLine="400" w:firstLineChars="200"/>
        <w:rPr>
          <w:rFonts w:ascii="宋体" w:hAnsi="宋体"/>
          <w:color w:val="FF0000"/>
          <w:sz w:val="20"/>
          <w:szCs w:val="20"/>
        </w:rPr>
      </w:pPr>
      <w:r>
        <w:rPr>
          <w:rFonts w:hint="eastAsia" w:ascii="宋体" w:hAnsi="宋体"/>
          <w:color w:val="FF0000"/>
          <w:sz w:val="20"/>
          <w:szCs w:val="20"/>
        </w:rPr>
        <w:t>（四）以非法手段排斥其他供应商参与竞争的；</w:t>
      </w:r>
    </w:p>
    <w:p>
      <w:pPr>
        <w:ind w:firstLine="400" w:firstLineChars="200"/>
        <w:rPr>
          <w:rFonts w:ascii="宋体" w:hAnsi="宋体"/>
          <w:color w:val="FF0000"/>
          <w:sz w:val="20"/>
          <w:szCs w:val="20"/>
        </w:rPr>
      </w:pPr>
      <w:r>
        <w:rPr>
          <w:rFonts w:hint="eastAsia" w:ascii="宋体" w:hAnsi="宋体"/>
          <w:color w:val="FF0000"/>
          <w:sz w:val="20"/>
          <w:szCs w:val="20"/>
        </w:rPr>
        <w:t>（五）与其他采购参加人串通投标的；</w:t>
      </w:r>
    </w:p>
    <w:p>
      <w:pPr>
        <w:ind w:firstLine="400" w:firstLineChars="200"/>
        <w:rPr>
          <w:rFonts w:ascii="宋体" w:hAnsi="宋体"/>
          <w:color w:val="FF0000"/>
          <w:sz w:val="20"/>
          <w:szCs w:val="20"/>
        </w:rPr>
      </w:pPr>
      <w:r>
        <w:rPr>
          <w:rFonts w:hint="eastAsia" w:ascii="宋体" w:hAnsi="宋体"/>
          <w:color w:val="FF0000"/>
          <w:sz w:val="20"/>
          <w:szCs w:val="20"/>
        </w:rPr>
        <w:t>（六）恶意投诉的；</w:t>
      </w:r>
    </w:p>
    <w:p>
      <w:pPr>
        <w:ind w:firstLine="400" w:firstLineChars="200"/>
        <w:rPr>
          <w:rFonts w:ascii="宋体" w:hAnsi="宋体"/>
          <w:color w:val="FF0000"/>
          <w:sz w:val="20"/>
          <w:szCs w:val="20"/>
        </w:rPr>
      </w:pPr>
      <w:r>
        <w:rPr>
          <w:rFonts w:hint="eastAsia" w:ascii="宋体" w:hAnsi="宋体"/>
          <w:color w:val="FF0000"/>
          <w:sz w:val="20"/>
          <w:szCs w:val="20"/>
        </w:rPr>
        <w:t>（七）向采购项目相关人行贿或者提供其他不当利益的；</w:t>
      </w:r>
    </w:p>
    <w:p>
      <w:pPr>
        <w:ind w:firstLine="400" w:firstLineChars="200"/>
        <w:rPr>
          <w:rFonts w:ascii="宋体" w:hAnsi="宋体"/>
          <w:color w:val="FF0000"/>
          <w:sz w:val="20"/>
          <w:szCs w:val="20"/>
        </w:rPr>
      </w:pPr>
      <w:r>
        <w:rPr>
          <w:rFonts w:hint="eastAsia" w:ascii="宋体" w:hAnsi="宋体"/>
          <w:color w:val="FF0000"/>
          <w:sz w:val="20"/>
          <w:szCs w:val="20"/>
        </w:rPr>
        <w:t>（八）阻碍、抗拒主管部门监督检查的；</w:t>
      </w:r>
    </w:p>
    <w:p>
      <w:pPr>
        <w:ind w:firstLine="400" w:firstLineChars="200"/>
        <w:rPr>
          <w:rFonts w:ascii="宋体" w:hAnsi="宋体"/>
          <w:color w:val="FF0000"/>
          <w:sz w:val="20"/>
          <w:szCs w:val="20"/>
        </w:rPr>
      </w:pPr>
      <w:r>
        <w:rPr>
          <w:rFonts w:hint="eastAsia" w:ascii="宋体" w:hAnsi="宋体"/>
          <w:color w:val="FF0000"/>
          <w:sz w:val="20"/>
          <w:szCs w:val="20"/>
        </w:rPr>
        <w:t>（九）其他违反本条例规定的行为。</w:t>
      </w:r>
    </w:p>
    <w:p>
      <w:pPr>
        <w:ind w:firstLine="400" w:firstLineChars="200"/>
        <w:rPr>
          <w:rFonts w:ascii="宋体" w:hAnsi="宋体"/>
          <w:color w:val="FF0000"/>
          <w:sz w:val="20"/>
          <w:szCs w:val="20"/>
        </w:rPr>
      </w:pPr>
      <w:r>
        <w:rPr>
          <w:rFonts w:hint="eastAsia" w:ascii="宋体" w:hAnsi="宋体"/>
          <w:color w:val="FF0000"/>
          <w:sz w:val="20"/>
          <w:szCs w:val="20"/>
        </w:rPr>
        <w:t>二、</w:t>
      </w:r>
      <w:r>
        <w:rPr>
          <w:rFonts w:hint="eastAsia" w:ascii="宋体" w:hAnsi="宋体"/>
          <w:b/>
          <w:bCs/>
          <w:color w:val="FF0000"/>
          <w:sz w:val="20"/>
          <w:szCs w:val="20"/>
        </w:rPr>
        <w:t>《深圳经济特区政府采购条例实施细则》第七十六条</w:t>
      </w:r>
      <w:r>
        <w:rPr>
          <w:rFonts w:hint="eastAsia" w:ascii="宋体" w:hAnsi="宋体"/>
          <w:color w:val="FF0000"/>
          <w:sz w:val="20"/>
          <w:szCs w:val="20"/>
        </w:rPr>
        <w:t xml:space="preserve"> 供应商有下列行为之一的，由主管部门记入供应商诚信档案并作出以下处罚：</w:t>
      </w:r>
    </w:p>
    <w:p>
      <w:pPr>
        <w:ind w:firstLine="400" w:firstLineChars="200"/>
        <w:rPr>
          <w:rFonts w:ascii="宋体" w:hAnsi="宋体"/>
          <w:color w:val="FF0000"/>
          <w:sz w:val="20"/>
          <w:szCs w:val="20"/>
        </w:rPr>
      </w:pPr>
      <w:r>
        <w:rPr>
          <w:rFonts w:hint="eastAsia" w:ascii="宋体" w:hAnsi="宋体"/>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ind w:firstLine="400" w:firstLineChars="200"/>
        <w:rPr>
          <w:rFonts w:ascii="宋体" w:hAnsi="宋体"/>
          <w:color w:val="FF0000"/>
          <w:sz w:val="20"/>
          <w:szCs w:val="20"/>
        </w:rPr>
      </w:pPr>
      <w:r>
        <w:rPr>
          <w:rFonts w:hint="eastAsia" w:ascii="宋体" w:hAnsi="宋体"/>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ind w:firstLine="402" w:firstLineChars="200"/>
        <w:rPr>
          <w:rFonts w:ascii="宋体" w:hAnsi="宋体"/>
          <w:color w:val="FF0000"/>
          <w:sz w:val="20"/>
          <w:szCs w:val="20"/>
        </w:rPr>
      </w:pPr>
      <w:r>
        <w:rPr>
          <w:rFonts w:hint="eastAsia" w:ascii="宋体" w:hAnsi="宋体"/>
          <w:b/>
          <w:bCs/>
          <w:color w:val="FF0000"/>
          <w:sz w:val="20"/>
          <w:szCs w:val="20"/>
        </w:rPr>
        <w:t>三、《深圳经济特区政府采购条例实施细则》第七十七条 </w:t>
      </w:r>
      <w:r>
        <w:rPr>
          <w:rFonts w:hint="eastAsia" w:ascii="宋体" w:hAnsi="宋体"/>
          <w:color w:val="FF0000"/>
          <w:sz w:val="20"/>
          <w:szCs w:val="20"/>
        </w:rPr>
        <w:t>供应商有下列行为之一的，属于情节严重，由市场监管部门依法吊销其营业执照，主管部门取消其参与本市政府采购的资格，并作出以下处罚：</w:t>
      </w:r>
    </w:p>
    <w:p>
      <w:pPr>
        <w:ind w:firstLine="400" w:firstLineChars="200"/>
        <w:rPr>
          <w:rFonts w:ascii="宋体" w:hAnsi="宋体"/>
          <w:color w:val="FF0000"/>
          <w:sz w:val="20"/>
          <w:szCs w:val="20"/>
        </w:rPr>
      </w:pPr>
      <w:r>
        <w:rPr>
          <w:rFonts w:hint="eastAsia" w:ascii="宋体" w:hAnsi="宋体"/>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ind w:firstLine="400" w:firstLineChars="200"/>
        <w:rPr>
          <w:rFonts w:ascii="宋体" w:hAnsi="宋体"/>
          <w:color w:val="FF0000"/>
          <w:sz w:val="20"/>
          <w:szCs w:val="20"/>
        </w:rPr>
      </w:pPr>
      <w:r>
        <w:rPr>
          <w:rFonts w:hint="eastAsia" w:ascii="宋体" w:hAnsi="宋体"/>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ind w:firstLine="402" w:firstLineChars="200"/>
        <w:rPr>
          <w:rFonts w:ascii="宋体" w:hAnsi="宋体"/>
          <w:color w:val="FF0000"/>
          <w:sz w:val="20"/>
          <w:szCs w:val="20"/>
        </w:rPr>
      </w:pPr>
      <w:r>
        <w:rPr>
          <w:rFonts w:hint="eastAsia" w:ascii="宋体" w:hAnsi="宋体"/>
          <w:b/>
          <w:bCs/>
          <w:color w:val="FF0000"/>
          <w:sz w:val="20"/>
          <w:szCs w:val="20"/>
        </w:rPr>
        <w:t>四、《深圳经济特区政府采购条例实施细则》第七十九条 </w:t>
      </w:r>
      <w:r>
        <w:rPr>
          <w:rFonts w:hint="eastAsia" w:ascii="宋体" w:hAnsi="宋体"/>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ind w:firstLine="402" w:firstLineChars="200"/>
        <w:rPr>
          <w:rFonts w:ascii="宋体" w:hAnsi="宋体"/>
          <w:color w:val="FF0000"/>
          <w:sz w:val="20"/>
          <w:szCs w:val="20"/>
        </w:rPr>
      </w:pPr>
      <w:r>
        <w:rPr>
          <w:rFonts w:hint="eastAsia" w:ascii="宋体" w:hAnsi="宋体"/>
          <w:b/>
          <w:bCs/>
          <w:color w:val="FF0000"/>
          <w:sz w:val="20"/>
          <w:szCs w:val="20"/>
        </w:rPr>
        <w:t>五、《深圳经济特区政府采购条例实施细则》第八十一条 </w:t>
      </w:r>
      <w:r>
        <w:rPr>
          <w:rFonts w:hint="eastAsia" w:ascii="宋体" w:hAnsi="宋体"/>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ind w:firstLine="400" w:firstLineChars="200"/>
        <w:rPr>
          <w:rFonts w:ascii="宋体" w:hAnsi="宋体"/>
          <w:color w:val="FF0000"/>
          <w:sz w:val="20"/>
          <w:szCs w:val="20"/>
        </w:rPr>
      </w:pPr>
      <w:r>
        <w:rPr>
          <w:rFonts w:hint="eastAsia" w:ascii="宋体" w:hAnsi="宋体"/>
          <w:color w:val="FF0000"/>
          <w:sz w:val="20"/>
          <w:szCs w:val="20"/>
        </w:rPr>
        <w:t>投标供应商不能提供项目负责人或者主要技术人员的劳动合同、社会保险等劳动关系证明材料的，视为存在前款第（三）项规定的情形。</w:t>
      </w:r>
    </w:p>
    <w:bookmarkEnd w:id="4"/>
    <w:p>
      <w:pPr>
        <w:ind w:firstLine="400" w:firstLineChars="200"/>
        <w:rPr>
          <w:rFonts w:ascii="宋体" w:hAnsi="宋体"/>
          <w:color w:val="FF0000"/>
          <w:sz w:val="20"/>
          <w:szCs w:val="20"/>
        </w:rPr>
      </w:pPr>
    </w:p>
    <w:p/>
    <w:p>
      <w:pPr>
        <w:pStyle w:val="3"/>
      </w:pPr>
      <w:bookmarkStart w:id="5" w:name="_Hlk72218009"/>
      <w:r>
        <w:rPr>
          <w:rFonts w:hint="eastAsia"/>
        </w:rPr>
        <w:t>目   录</w:t>
      </w:r>
    </w:p>
    <w:p>
      <w:pPr>
        <w:outlineLvl w:val="0"/>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 xml:space="preserve">第二章  </w:t>
      </w:r>
      <w:bookmarkStart w:id="6" w:name="_Hlk71994379"/>
      <w:r>
        <w:rPr>
          <w:rFonts w:hint="eastAsia" w:ascii="宋体" w:hAnsi="宋体"/>
          <w:szCs w:val="21"/>
        </w:rPr>
        <w:t>对通用条款的补充内容及其他关键信息</w:t>
      </w:r>
      <w:bookmarkEnd w:id="6"/>
    </w:p>
    <w:p>
      <w:pPr>
        <w:ind w:left="630" w:leftChars="300" w:firstLine="630" w:firstLineChars="300"/>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630" w:firstLineChars="300"/>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630" w:firstLineChars="300"/>
        <w:rPr>
          <w:rFonts w:hint="eastAsia" w:ascii="宋体" w:hAnsi="宋体" w:eastAsia="宋体"/>
          <w:szCs w:val="21"/>
          <w:lang w:val="en-US" w:eastAsia="zh-CN"/>
        </w:rPr>
      </w:pPr>
      <w:r>
        <w:rPr>
          <w:rFonts w:hint="eastAsia" w:ascii="宋体" w:hAnsi="宋体"/>
          <w:szCs w:val="21"/>
        </w:rPr>
        <w:t>第五章  合同条款及格式</w:t>
      </w:r>
    </w:p>
    <w:p>
      <w:pPr>
        <w:spacing w:line="240" w:lineRule="auto"/>
        <w:ind w:left="630" w:leftChars="300" w:firstLine="630" w:firstLineChars="300"/>
        <w:jc w:val="left"/>
        <w:outlineLvl w:val="9"/>
        <w:rPr>
          <w:rFonts w:hint="eastAsia" w:ascii="宋体" w:hAnsi="宋体" w:eastAsia="宋体" w:cs="Times New Roman"/>
          <w:bCs w:val="0"/>
          <w:kern w:val="2"/>
          <w:sz w:val="21"/>
          <w:szCs w:val="21"/>
        </w:rPr>
      </w:pPr>
      <w:r>
        <w:rPr>
          <w:rFonts w:hint="eastAsia" w:ascii="宋体" w:hAnsi="宋体"/>
          <w:szCs w:val="21"/>
        </w:rPr>
        <w:t>第</w:t>
      </w:r>
      <w:r>
        <w:rPr>
          <w:rFonts w:hint="eastAsia" w:ascii="宋体" w:hAnsi="宋体"/>
          <w:szCs w:val="21"/>
          <w:lang w:eastAsia="zh-CN"/>
        </w:rPr>
        <w:t>六</w:t>
      </w:r>
      <w:r>
        <w:rPr>
          <w:rFonts w:hint="eastAsia" w:ascii="宋体" w:hAnsi="宋体"/>
          <w:szCs w:val="21"/>
        </w:rPr>
        <w:t xml:space="preserve">章  </w:t>
      </w:r>
      <w:r>
        <w:rPr>
          <w:rFonts w:hint="eastAsia" w:ascii="宋体" w:hAnsi="宋体" w:eastAsia="宋体" w:cs="Times New Roman"/>
          <w:bCs w:val="0"/>
          <w:kern w:val="2"/>
          <w:sz w:val="21"/>
          <w:szCs w:val="21"/>
        </w:rPr>
        <w:t>政府采购履约异常情况反馈表</w:t>
      </w:r>
    </w:p>
    <w:p>
      <w:pPr>
        <w:pStyle w:val="2"/>
      </w:pPr>
    </w:p>
    <w:p>
      <w:pPr>
        <w:rPr>
          <w:b/>
          <w:sz w:val="24"/>
        </w:rPr>
      </w:pPr>
    </w:p>
    <w:p>
      <w:pPr>
        <w:outlineLvl w:val="0"/>
        <w:rPr>
          <w:b/>
          <w:sz w:val="24"/>
        </w:rPr>
      </w:pPr>
      <w:r>
        <w:rPr>
          <w:rFonts w:hint="eastAsia"/>
          <w:b/>
          <w:sz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firstLine="1050" w:firstLineChars="500"/>
        <w:outlineLvl w:val="9"/>
        <w:rPr>
          <w:rFonts w:hint="eastAsia" w:ascii="宋体" w:hAnsi="宋体"/>
          <w:szCs w:val="21"/>
        </w:rPr>
      </w:pPr>
      <w:r>
        <w:rPr>
          <w:rFonts w:hint="eastAsia" w:ascii="宋体" w:hAnsi="宋体"/>
          <w:szCs w:val="21"/>
        </w:rPr>
        <w:t>第十一章  质疑处理</w:t>
      </w:r>
    </w:p>
    <w:p>
      <w:pPr>
        <w:ind w:firstLine="1050" w:firstLineChars="500"/>
        <w:outlineLvl w:val="9"/>
        <w:rPr>
          <w:rFonts w:hint="eastAsia" w:ascii="宋体" w:hAnsi="宋体" w:eastAsia="宋体"/>
          <w:sz w:val="21"/>
          <w:szCs w:val="21"/>
        </w:rPr>
      </w:pPr>
      <w:r>
        <w:rPr>
          <w:rFonts w:hint="eastAsia" w:ascii="宋体" w:hAnsi="宋体" w:eastAsia="宋体"/>
          <w:szCs w:val="21"/>
        </w:rPr>
        <w:t>第十</w:t>
      </w:r>
      <w:r>
        <w:rPr>
          <w:rFonts w:hint="eastAsia" w:ascii="宋体" w:hAnsi="宋体" w:eastAsia="宋体"/>
          <w:szCs w:val="21"/>
          <w:lang w:eastAsia="zh-CN"/>
        </w:rPr>
        <w:t>二</w:t>
      </w:r>
      <w:r>
        <w:rPr>
          <w:rFonts w:hint="eastAsia" w:ascii="宋体" w:hAnsi="宋体" w:eastAsia="宋体"/>
          <w:szCs w:val="21"/>
        </w:rPr>
        <w:t>章</w:t>
      </w:r>
      <w:r>
        <w:rPr>
          <w:rFonts w:hint="eastAsia" w:ascii="宋体" w:hAnsi="宋体" w:eastAsia="宋体"/>
          <w:szCs w:val="21"/>
          <w:lang w:val="en-US" w:eastAsia="zh-CN"/>
        </w:rPr>
        <w:t xml:space="preserve"> </w:t>
      </w:r>
      <w:r>
        <w:rPr>
          <w:rFonts w:hint="eastAsia" w:ascii="宋体" w:hAnsi="宋体" w:eastAsia="宋体"/>
          <w:sz w:val="21"/>
          <w:szCs w:val="21"/>
        </w:rPr>
        <w:t>招标代理服务取费说明</w:t>
      </w:r>
    </w:p>
    <w:p>
      <w:pPr>
        <w:ind w:firstLine="1050" w:firstLineChars="500"/>
        <w:outlineLvl w:val="9"/>
        <w:rPr>
          <w:rFonts w:hint="eastAsia" w:ascii="宋体" w:hAnsi="宋体"/>
          <w:szCs w:val="21"/>
        </w:rPr>
      </w:pPr>
    </w:p>
    <w:bookmarkEnd w:id="5"/>
    <w:p>
      <w:pPr>
        <w:pStyle w:val="3"/>
        <w:rPr>
          <w:color w:val="FF0000"/>
          <w:sz w:val="24"/>
        </w:rPr>
      </w:pPr>
      <w:bookmarkStart w:id="7" w:name="bt投标人情况介绍"/>
      <w:bookmarkEnd w:id="7"/>
      <w:bookmarkStart w:id="8" w:name="bt投标函"/>
      <w:bookmarkEnd w:id="8"/>
      <w:bookmarkStart w:id="9" w:name="bt合同条款及格式"/>
      <w:bookmarkEnd w:id="9"/>
      <w:bookmarkStart w:id="10" w:name="bt项目管理班子配备情况"/>
      <w:bookmarkEnd w:id="10"/>
      <w:bookmarkStart w:id="11" w:name="bt其他资料由投标人自定"/>
      <w:bookmarkEnd w:id="11"/>
      <w:bookmarkStart w:id="12" w:name="bt投标人须知"/>
      <w:bookmarkEnd w:id="12"/>
      <w:bookmarkStart w:id="13" w:name="bt投标文件签署授权委托书"/>
      <w:bookmarkEnd w:id="13"/>
      <w:bookmarkStart w:id="14" w:name="bt合同条款"/>
      <w:bookmarkEnd w:id="14"/>
      <w:bookmarkStart w:id="15" w:name="bt合同格式"/>
      <w:bookmarkEnd w:id="15"/>
      <w:bookmarkStart w:id="16" w:name="bt说明"/>
      <w:bookmarkEnd w:id="16"/>
      <w:bookmarkStart w:id="17" w:name="bt其他资料2"/>
      <w:bookmarkEnd w:id="17"/>
      <w:bookmarkStart w:id="18" w:name="bt本工程承诺书"/>
      <w:bookmarkEnd w:id="18"/>
      <w:bookmarkStart w:id="19" w:name="合同格式"/>
      <w:bookmarkEnd w:id="19"/>
      <w:bookmarkStart w:id="20" w:name="bt投标报价汇总表"/>
      <w:bookmarkEnd w:id="20"/>
      <w:bookmarkStart w:id="21" w:name="bt开标一览表"/>
      <w:bookmarkEnd w:id="21"/>
      <w:bookmarkStart w:id="22" w:name="bt商务标投标文件格式"/>
      <w:bookmarkEnd w:id="22"/>
      <w:bookmarkStart w:id="23" w:name="bt技术标投标文件格式"/>
      <w:bookmarkEnd w:id="23"/>
      <w:r>
        <w:rPr>
          <w:rFonts w:hint="eastAsia"/>
        </w:rPr>
        <w:t>第一册  专用条款</w:t>
      </w:r>
    </w:p>
    <w:p>
      <w:pPr>
        <w:pStyle w:val="5"/>
        <w:rPr>
          <w:sz w:val="28"/>
          <w:szCs w:val="28"/>
        </w:rPr>
      </w:pPr>
      <w:r>
        <w:rPr>
          <w:rFonts w:hint="eastAsia"/>
          <w:sz w:val="28"/>
          <w:szCs w:val="28"/>
        </w:rPr>
        <w:t>第一章  招标公告</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szCs w:val="21"/>
        </w:rPr>
      </w:pPr>
      <w:r>
        <w:rPr>
          <w:rFonts w:hint="eastAsia" w:ascii="Times New Roman" w:hAnsi="Times New Roman" w:cs="Times New Roman"/>
        </w:rPr>
        <w:fldChar w:fldCharType="begin"/>
      </w:r>
      <w:r>
        <w:rPr>
          <w:rFonts w:hint="eastAsia" w:ascii="Times New Roman" w:hAnsi="Times New Roman" w:cs="Times New Roman"/>
        </w:rPr>
        <w:instrText xml:space="preserve"> HYPERLINK "http://ps.szzfcg.cn/stock/projectSearchView.do?method=view&amp;id=957266261" \t "http://ps.szzfcg.cn/stock/_blank" </w:instrText>
      </w:r>
      <w:r>
        <w:rPr>
          <w:rFonts w:hint="eastAsia" w:ascii="Times New Roman" w:hAnsi="Times New Roman" w:cs="Times New Roman"/>
        </w:rPr>
        <w:fldChar w:fldCharType="separate"/>
      </w:r>
      <w:r>
        <w:rPr>
          <w:rFonts w:hint="eastAsia" w:ascii="Times New Roman" w:hAnsi="Times New Roman" w:cs="Times New Roman"/>
        </w:rPr>
        <w:t>坪山区妇幼保健院住院综合楼医疗设备购置项目27包</w:t>
      </w:r>
      <w:r>
        <w:rPr>
          <w:rFonts w:hint="eastAsia" w:ascii="Times New Roman" w:hAnsi="Times New Roman" w:cs="Times New Roman"/>
        </w:rPr>
        <w:fldChar w:fldCharType="end"/>
      </w:r>
      <w:r>
        <w:rPr>
          <w:rFonts w:ascii="Times New Roman" w:hAnsi="Times New Roman" w:cs="Times New Roman"/>
        </w:rPr>
        <w:t>招标项目的</w:t>
      </w:r>
      <w:r>
        <w:t>潜在投标人应在</w:t>
      </w:r>
      <w:r>
        <w:rPr>
          <w:rFonts w:hint="eastAsia" w:ascii="宋体" w:hAnsi="宋体" w:eastAsia="宋体" w:cs="宋体"/>
          <w:kern w:val="2"/>
          <w:sz w:val="21"/>
          <w:szCs w:val="21"/>
        </w:rPr>
        <w:t>（深圳公共资源交易中心（深圳交易集团有限公司坪山分公司）网站http://ps.szzfcg.cn/）</w:t>
      </w:r>
      <w:r>
        <w:t xml:space="preserve">获取招标文件， 并于 </w:t>
      </w:r>
      <w:r>
        <w:rPr>
          <w:rFonts w:hint="eastAsia"/>
          <w:lang w:val="en-US" w:eastAsia="zh-CN"/>
        </w:rPr>
        <w:t>2021</w:t>
      </w:r>
      <w:r>
        <w:t xml:space="preserve">年 </w:t>
      </w:r>
      <w:r>
        <w:rPr>
          <w:rFonts w:hint="eastAsia"/>
          <w:lang w:val="en-US" w:eastAsia="zh-CN"/>
        </w:rPr>
        <w:t>9</w:t>
      </w:r>
      <w:r>
        <w:t>月</w:t>
      </w:r>
      <w:r>
        <w:rPr>
          <w:rFonts w:hint="eastAsia"/>
          <w:lang w:val="en-US" w:eastAsia="zh-CN"/>
        </w:rPr>
        <w:t>24</w:t>
      </w:r>
      <w:r>
        <w:t xml:space="preserve"> 日</w:t>
      </w:r>
      <w:r>
        <w:rPr>
          <w:rFonts w:hint="eastAsia"/>
          <w:lang w:val="en-US" w:eastAsia="zh-CN"/>
        </w:rPr>
        <w:t>9</w:t>
      </w:r>
      <w:r>
        <w:t xml:space="preserve"> 点</w:t>
      </w:r>
      <w:r>
        <w:rPr>
          <w:rFonts w:hint="eastAsia"/>
          <w:lang w:val="en-US" w:eastAsia="zh-CN"/>
        </w:rPr>
        <w:t>30</w:t>
      </w:r>
      <w:r>
        <w:t xml:space="preserve"> 分（北京时间）前递交投标文件</w:t>
      </w:r>
      <w:r>
        <w:rPr>
          <w:rFonts w:hint="eastAsia"/>
        </w:rPr>
        <w:t>。</w:t>
      </w:r>
    </w:p>
    <w:p>
      <w:pPr>
        <w:spacing w:line="360" w:lineRule="auto"/>
        <w:rPr>
          <w:rFonts w:ascii="宋体" w:hAnsi="宋体" w:cs="宋体"/>
          <w:b/>
          <w:bCs/>
          <w:kern w:val="0"/>
          <w:szCs w:val="21"/>
        </w:rPr>
      </w:pPr>
      <w:r>
        <w:rPr>
          <w:rFonts w:hint="eastAsia" w:ascii="宋体" w:hAnsi="宋体" w:cs="宋体"/>
          <w:b/>
          <w:bCs/>
          <w:kern w:val="0"/>
          <w:szCs w:val="21"/>
        </w:rPr>
        <w:t>一、项目基本情况</w:t>
      </w:r>
    </w:p>
    <w:p>
      <w:pPr>
        <w:ind w:firstLine="420" w:firstLineChars="200"/>
        <w:rPr>
          <w:rFonts w:ascii="宋体" w:hAnsi="宋体" w:cs="宋体"/>
          <w:kern w:val="0"/>
          <w:szCs w:val="21"/>
        </w:rPr>
      </w:pPr>
      <w:r>
        <w:rPr>
          <w:rFonts w:hint="eastAsia" w:ascii="宋体" w:hAnsi="宋体" w:cs="宋体"/>
          <w:kern w:val="0"/>
          <w:szCs w:val="21"/>
        </w:rPr>
        <w:t>1.项目编号：PSJY2021170899</w:t>
      </w:r>
    </w:p>
    <w:p>
      <w:pPr>
        <w:ind w:firstLine="420" w:firstLineChars="200"/>
        <w:rPr>
          <w:rFonts w:hint="eastAsia" w:ascii="宋体" w:hAnsi="宋体" w:eastAsia="宋体" w:cs="宋体"/>
          <w:color w:val="333333"/>
          <w:sz w:val="18"/>
          <w:szCs w:val="18"/>
          <w:u w:val="none"/>
        </w:rPr>
      </w:pPr>
      <w:r>
        <w:rPr>
          <w:rFonts w:hint="eastAsia" w:ascii="宋体" w:hAnsi="宋体" w:cs="宋体"/>
          <w:kern w:val="0"/>
          <w:szCs w:val="21"/>
        </w:rPr>
        <w:t>2.项目名称：</w:t>
      </w:r>
      <w:r>
        <w:rPr>
          <w:rFonts w:hint="eastAsia" w:ascii="宋体" w:hAnsi="宋体" w:cs="宋体"/>
          <w:kern w:val="0"/>
          <w:szCs w:val="21"/>
        </w:rPr>
        <w:fldChar w:fldCharType="begin"/>
      </w:r>
      <w:r>
        <w:rPr>
          <w:rFonts w:hint="eastAsia" w:ascii="宋体" w:hAnsi="宋体" w:cs="宋体"/>
          <w:kern w:val="0"/>
          <w:szCs w:val="21"/>
        </w:rPr>
        <w:instrText xml:space="preserve"> HYPERLINK "http://ps.szzfcg.cn/stock/projectSearchView.do?method=view&amp;id=957266261" \t "http://ps.szzfcg.cn/stock/_blank" </w:instrText>
      </w:r>
      <w:r>
        <w:rPr>
          <w:rFonts w:hint="eastAsia" w:ascii="宋体" w:hAnsi="宋体" w:cs="宋体"/>
          <w:kern w:val="0"/>
          <w:szCs w:val="21"/>
        </w:rPr>
        <w:fldChar w:fldCharType="separate"/>
      </w:r>
      <w:r>
        <w:rPr>
          <w:rFonts w:hint="eastAsia" w:ascii="宋体" w:hAnsi="宋体" w:cs="宋体"/>
          <w:kern w:val="0"/>
          <w:szCs w:val="21"/>
        </w:rPr>
        <w:t>坪山区妇幼保健院住院综合楼医疗设备购置项目27包</w:t>
      </w:r>
      <w:r>
        <w:rPr>
          <w:rFonts w:hint="eastAsia" w:ascii="宋体" w:hAnsi="宋体" w:cs="宋体"/>
          <w:kern w:val="0"/>
          <w:szCs w:val="21"/>
        </w:rPr>
        <w:fldChar w:fldCharType="end"/>
      </w:r>
    </w:p>
    <w:p>
      <w:pPr>
        <w:ind w:firstLine="420" w:firstLineChars="200"/>
        <w:rPr>
          <w:rFonts w:hint="eastAsia" w:ascii="宋体" w:hAnsi="宋体" w:eastAsia="宋体" w:cs="宋体"/>
          <w:kern w:val="0"/>
          <w:szCs w:val="21"/>
          <w:lang w:val="en-US" w:eastAsia="zh-CN"/>
        </w:rPr>
      </w:pPr>
      <w:r>
        <w:rPr>
          <w:rFonts w:hint="eastAsia" w:ascii="宋体" w:hAnsi="宋体" w:cs="宋体"/>
          <w:kern w:val="0"/>
          <w:szCs w:val="21"/>
        </w:rPr>
        <w:t>3.预算金额：3,588,000.00</w:t>
      </w:r>
      <w:r>
        <w:rPr>
          <w:rFonts w:hint="eastAsia" w:ascii="宋体" w:hAnsi="宋体" w:cs="宋体"/>
          <w:kern w:val="0"/>
          <w:szCs w:val="21"/>
          <w:lang w:val="en-US" w:eastAsia="zh-CN"/>
        </w:rPr>
        <w:t>元</w:t>
      </w:r>
    </w:p>
    <w:p>
      <w:pPr>
        <w:ind w:firstLine="420" w:firstLineChars="200"/>
        <w:rPr>
          <w:rFonts w:hint="eastAsia" w:ascii="宋体" w:hAnsi="宋体" w:eastAsia="宋体" w:cs="宋体"/>
          <w:kern w:val="0"/>
          <w:szCs w:val="21"/>
          <w:lang w:eastAsia="zh-CN"/>
        </w:rPr>
      </w:pPr>
      <w:r>
        <w:rPr>
          <w:rFonts w:hint="eastAsia" w:ascii="宋体" w:hAnsi="宋体" w:cs="宋体"/>
          <w:kern w:val="0"/>
          <w:szCs w:val="21"/>
        </w:rPr>
        <w:t>4.最高限价：</w:t>
      </w:r>
      <w:r>
        <w:rPr>
          <w:rFonts w:hint="eastAsia" w:ascii="宋体" w:hAnsi="宋体" w:cs="宋体"/>
          <w:color w:val="0000FF"/>
          <w:kern w:val="0"/>
          <w:szCs w:val="21"/>
          <w:lang w:val="en-US" w:eastAsia="zh-CN"/>
        </w:rPr>
        <w:t>无</w:t>
      </w:r>
    </w:p>
    <w:p>
      <w:pPr>
        <w:ind w:firstLine="420" w:firstLineChars="200"/>
        <w:rPr>
          <w:rFonts w:ascii="宋体" w:hAnsi="宋体" w:cs="宋体"/>
          <w:kern w:val="0"/>
          <w:szCs w:val="21"/>
        </w:rPr>
      </w:pPr>
      <w:r>
        <w:rPr>
          <w:rFonts w:hint="eastAsia" w:ascii="宋体" w:hAnsi="宋体" w:cs="宋体"/>
          <w:kern w:val="0"/>
          <w:szCs w:val="21"/>
        </w:rPr>
        <w:t>5.采购需求：</w:t>
      </w:r>
    </w:p>
    <w:tbl>
      <w:tblPr>
        <w:tblStyle w:val="43"/>
        <w:tblW w:w="7941" w:type="dxa"/>
        <w:jc w:val="center"/>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Layout w:type="fixed"/>
        <w:tblCellMar>
          <w:top w:w="60" w:type="dxa"/>
          <w:left w:w="60" w:type="dxa"/>
          <w:bottom w:w="60" w:type="dxa"/>
          <w:right w:w="60" w:type="dxa"/>
        </w:tblCellMar>
      </w:tblPr>
      <w:tblGrid>
        <w:gridCol w:w="2228"/>
        <w:gridCol w:w="714"/>
        <w:gridCol w:w="714"/>
        <w:gridCol w:w="3571"/>
        <w:gridCol w:w="714"/>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jc w:val="center"/>
        </w:trPr>
        <w:tc>
          <w:tcPr>
            <w:tcW w:w="2228"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标的名称</w:t>
            </w:r>
          </w:p>
        </w:tc>
        <w:tc>
          <w:tcPr>
            <w:tcW w:w="71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数量</w:t>
            </w:r>
          </w:p>
        </w:tc>
        <w:tc>
          <w:tcPr>
            <w:tcW w:w="71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单位</w:t>
            </w:r>
          </w:p>
        </w:tc>
        <w:tc>
          <w:tcPr>
            <w:tcW w:w="357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简要技术需求（服务需求）</w:t>
            </w:r>
          </w:p>
        </w:tc>
        <w:tc>
          <w:tcPr>
            <w:tcW w:w="71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备注</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jc w:val="center"/>
        </w:trPr>
        <w:tc>
          <w:tcPr>
            <w:tcW w:w="2228" w:type="dxa"/>
            <w:tcBorders>
              <w:top w:val="outset" w:color="AAAAAA" w:sz="6" w:space="0"/>
              <w:left w:val="outset" w:color="AAAAAA" w:sz="6" w:space="0"/>
              <w:bottom w:val="outset" w:color="AAAAAA" w:sz="6" w:space="0"/>
              <w:right w:val="outset" w:color="AAAAAA" w:sz="6"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 xml:space="preserve"> </w:t>
            </w:r>
            <w:r>
              <w:rPr>
                <w:rFonts w:hint="eastAsia" w:ascii="Times New Roman" w:hAnsi="Times New Roman" w:cs="Times New Roman"/>
              </w:rPr>
              <w:fldChar w:fldCharType="begin"/>
            </w:r>
            <w:r>
              <w:rPr>
                <w:rFonts w:hint="eastAsia" w:ascii="Times New Roman" w:hAnsi="Times New Roman" w:cs="Times New Roman"/>
              </w:rPr>
              <w:instrText xml:space="preserve"> HYPERLINK "http://ps.szzfcg.cn/stock/projectSearchView.do?method=view&amp;id=957266261" \t "http://ps.szzfcg.cn/stock/_blank" </w:instrText>
            </w:r>
            <w:r>
              <w:rPr>
                <w:rFonts w:hint="eastAsia" w:ascii="Times New Roman" w:hAnsi="Times New Roman" w:cs="Times New Roman"/>
              </w:rPr>
              <w:fldChar w:fldCharType="separate"/>
            </w:r>
            <w:r>
              <w:rPr>
                <w:rFonts w:hint="eastAsia" w:ascii="Times New Roman" w:hAnsi="Times New Roman" w:cs="Times New Roman"/>
              </w:rPr>
              <w:t>坪山区妇幼保健院住院综合楼医疗设备购置项目27包</w:t>
            </w:r>
            <w:r>
              <w:rPr>
                <w:rFonts w:hint="eastAsia" w:ascii="Times New Roman" w:hAnsi="Times New Roman" w:cs="Times New Roman"/>
              </w:rPr>
              <w:fldChar w:fldCharType="end"/>
            </w:r>
          </w:p>
        </w:tc>
        <w:tc>
          <w:tcPr>
            <w:tcW w:w="714" w:type="dxa"/>
            <w:tcBorders>
              <w:top w:val="outset" w:color="AAAAAA" w:sz="6" w:space="0"/>
              <w:left w:val="outset" w:color="AAAAAA" w:sz="6" w:space="0"/>
              <w:bottom w:val="outset" w:color="AAAAAA" w:sz="6" w:space="0"/>
              <w:right w:val="outset" w:color="AAAAAA" w:sz="6" w:space="0"/>
            </w:tcBorders>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1.0</w:t>
            </w:r>
          </w:p>
        </w:tc>
        <w:tc>
          <w:tcPr>
            <w:tcW w:w="714" w:type="dxa"/>
            <w:tcBorders>
              <w:top w:val="outset" w:color="AAAAAA" w:sz="6" w:space="0"/>
              <w:left w:val="outset" w:color="AAAAAA" w:sz="6" w:space="0"/>
              <w:bottom w:val="outset" w:color="AAAAAA" w:sz="6" w:space="0"/>
              <w:right w:val="outset" w:color="AAAAAA" w:sz="6" w:space="0"/>
            </w:tcBorders>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项</w:t>
            </w:r>
          </w:p>
        </w:tc>
        <w:tc>
          <w:tcPr>
            <w:tcW w:w="3571" w:type="dxa"/>
            <w:tcBorders>
              <w:top w:val="outset" w:color="AAAAAA" w:sz="6" w:space="0"/>
              <w:left w:val="outset" w:color="AAAAAA" w:sz="6" w:space="0"/>
              <w:bottom w:val="outset" w:color="AAAAAA" w:sz="6" w:space="0"/>
              <w:right w:val="outset" w:color="AAAAAA" w:sz="6" w:space="0"/>
            </w:tcBorders>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详见采购文件</w:t>
            </w:r>
          </w:p>
        </w:tc>
        <w:tc>
          <w:tcPr>
            <w:tcW w:w="714" w:type="dxa"/>
            <w:tcBorders>
              <w:top w:val="outset" w:color="AAAAAA" w:sz="6" w:space="0"/>
              <w:left w:val="outset" w:color="AAAAAA" w:sz="6" w:space="0"/>
              <w:bottom w:val="outset" w:color="AAAAAA" w:sz="6" w:space="0"/>
              <w:right w:val="outset" w:color="AAAAAA" w:sz="6" w:space="0"/>
            </w:tcBorders>
            <w:vAlign w:val="center"/>
          </w:tcPr>
          <w:p>
            <w:pPr>
              <w:widowControl/>
              <w:jc w:val="left"/>
              <w:rPr>
                <w:rFonts w:ascii="宋体" w:hAnsi="宋体" w:cs="宋体"/>
                <w:kern w:val="0"/>
                <w:szCs w:val="21"/>
              </w:rPr>
            </w:pPr>
            <w:r>
              <w:rPr>
                <w:rFonts w:ascii="宋体" w:hAnsi="宋体" w:cs="宋体"/>
                <w:kern w:val="0"/>
                <w:szCs w:val="21"/>
              </w:rPr>
              <w:t> </w:t>
            </w:r>
          </w:p>
        </w:tc>
      </w:tr>
    </w:tbl>
    <w:p>
      <w:pPr>
        <w:ind w:firstLine="420" w:firstLineChars="200"/>
        <w:rPr>
          <w:rFonts w:ascii="宋体" w:hAnsi="宋体" w:cs="宋体"/>
          <w:kern w:val="0"/>
          <w:szCs w:val="21"/>
        </w:rPr>
      </w:pPr>
      <w:r>
        <w:rPr>
          <w:rFonts w:hint="eastAsia" w:ascii="宋体" w:hAnsi="宋体" w:cs="宋体"/>
          <w:kern w:val="0"/>
          <w:szCs w:val="21"/>
        </w:rPr>
        <w:t>6.合同履行期限：详见招标文件用户需求书。</w:t>
      </w:r>
    </w:p>
    <w:p>
      <w:pPr>
        <w:ind w:firstLine="420" w:firstLineChars="200"/>
        <w:rPr>
          <w:rFonts w:ascii="宋体" w:hAnsi="宋体" w:cs="宋体"/>
          <w:kern w:val="0"/>
          <w:szCs w:val="21"/>
        </w:rPr>
      </w:pPr>
      <w:r>
        <w:rPr>
          <w:rFonts w:hint="eastAsia" w:ascii="宋体" w:hAnsi="宋体" w:cs="宋体"/>
          <w:kern w:val="0"/>
          <w:szCs w:val="21"/>
        </w:rPr>
        <w:t>7.本项目（否）接受联合体投标：详见“申请人的资格要求”。</w:t>
      </w:r>
    </w:p>
    <w:p>
      <w:pPr>
        <w:spacing w:line="360" w:lineRule="auto"/>
        <w:rPr>
          <w:rFonts w:ascii="宋体" w:hAnsi="宋体" w:cs="宋体"/>
          <w:b/>
          <w:bCs/>
          <w:kern w:val="0"/>
          <w:szCs w:val="21"/>
        </w:rPr>
      </w:pPr>
      <w:r>
        <w:rPr>
          <w:rFonts w:hint="eastAsia" w:ascii="宋体" w:hAnsi="宋体" w:cs="宋体"/>
          <w:b/>
          <w:bCs/>
          <w:kern w:val="0"/>
          <w:szCs w:val="21"/>
        </w:rPr>
        <w:t>二、申请人的资格要求：</w:t>
      </w:r>
    </w:p>
    <w:p>
      <w:pPr>
        <w:ind w:firstLine="630" w:firstLineChars="300"/>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bookmarkStart w:id="24" w:name="_Hlk72162904"/>
      <w:r>
        <w:rPr>
          <w:rFonts w:hint="eastAsia" w:ascii="宋体" w:hAnsi="宋体" w:cs="宋体"/>
          <w:kern w:val="0"/>
          <w:szCs w:val="21"/>
        </w:rPr>
        <w:t>具有独立法人资格或是具有独立承担民事责任能力的其它组织（提供营业执照或事业单位法人证书等证明资料扫描件，原件备查）；</w:t>
      </w:r>
      <w:bookmarkEnd w:id="24"/>
    </w:p>
    <w:p>
      <w:pPr>
        <w:ind w:firstLine="630" w:firstLineChars="300"/>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color w:val="FF0000"/>
          <w:kern w:val="0"/>
          <w:szCs w:val="21"/>
        </w:rPr>
        <w:t>本项目不接受联合体投标，</w:t>
      </w:r>
      <w:r>
        <w:rPr>
          <w:rFonts w:hint="eastAsia" w:ascii="宋体" w:hAnsi="宋体" w:cs="宋体"/>
          <w:color w:val="FF0000"/>
          <w:kern w:val="0"/>
          <w:szCs w:val="21"/>
          <w:lang w:eastAsia="zh-CN"/>
        </w:rPr>
        <w:t>不允许分包，</w:t>
      </w:r>
      <w:r>
        <w:rPr>
          <w:rFonts w:hint="eastAsia" w:ascii="宋体" w:hAnsi="宋体" w:cs="宋体"/>
          <w:color w:val="FF0000"/>
          <w:kern w:val="0"/>
          <w:szCs w:val="21"/>
        </w:rPr>
        <w:t>接受投标人选用进口产品参与投标；</w:t>
      </w:r>
    </w:p>
    <w:p>
      <w:pPr>
        <w:ind w:firstLine="630" w:firstLineChars="300"/>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参与本项目投标前三年内，在经营活动中没有重大违法记录（由供应商在《政府采购投标及履约承诺函》中作出声明）；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参与本项目政府采购活动时不存在被有关部门禁止参与政府采购活动且在有效期内的情况（由供应商在《政府采购投标及履约承诺函》中作出声明）；</w:t>
      </w:r>
    </w:p>
    <w:p>
      <w:pPr>
        <w:ind w:firstLine="630" w:firstLineChars="300"/>
        <w:rPr>
          <w:rFonts w:ascii="宋体" w:hAnsi="宋体" w:cs="宋体"/>
          <w:kern w:val="0"/>
          <w:szCs w:val="21"/>
        </w:rPr>
      </w:pP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具备《中华人民共和国政府采购法》第二十二条第一款的条件（由供应商在《政府采购投标及履约承诺函》中作出声明）；</w:t>
      </w:r>
    </w:p>
    <w:p>
      <w:pPr>
        <w:ind w:firstLine="630" w:firstLineChars="300"/>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未被列入失信被执行人、重大税收违法案件当事人名单、政府采购严重违法失信行为记录名单（由供应商在《政府采购投标及履约承诺函》中作出声明）。</w:t>
      </w:r>
    </w:p>
    <w:p>
      <w:pPr>
        <w:pStyle w:val="2"/>
        <w:ind w:firstLine="420" w:firstLineChars="200"/>
        <w:rPr>
          <w:rFonts w:hint="eastAsia" w:ascii="宋体" w:hAnsi="宋体" w:cs="宋体"/>
          <w:b w:val="0"/>
          <w:bCs w:val="0"/>
          <w:kern w:val="0"/>
          <w:sz w:val="21"/>
          <w:szCs w:val="21"/>
        </w:rPr>
      </w:pPr>
      <w:r>
        <w:rPr>
          <w:rFonts w:hint="eastAsia" w:ascii="宋体" w:hAnsi="宋体" w:cs="宋体"/>
          <w:b w:val="0"/>
          <w:bCs w:val="0"/>
          <w:kern w:val="0"/>
          <w:sz w:val="21"/>
          <w:szCs w:val="21"/>
        </w:rPr>
        <w:t>“重大违法记录”，是指供应商因违法经营受到刑事处罚或者责令停产停业、吊销许可证或者执照、较大数额罚款等行政处罚。“较大数额罚款”一般指达到处罚地举行听证数额的罚款（具体以主管部门意见为准）。供应商作出承诺时务必自行核实，否则经查实将作无效投标处理，并以虚假应标报财政主管部门处理。</w:t>
      </w:r>
    </w:p>
    <w:p>
      <w:pPr>
        <w:widowControl/>
        <w:spacing w:line="560" w:lineRule="exact"/>
        <w:ind w:firstLine="420" w:firstLineChars="200"/>
        <w:rPr>
          <w:rFonts w:hint="eastAsia" w:ascii="宋体" w:hAnsi="宋体" w:eastAsia="宋体" w:cs="宋体"/>
          <w:color w:val="FF0000"/>
          <w:kern w:val="0"/>
          <w:sz w:val="21"/>
          <w:szCs w:val="21"/>
        </w:rPr>
      </w:pPr>
      <w:r>
        <w:rPr>
          <w:rFonts w:hint="eastAsia" w:ascii="宋体" w:hAnsi="宋体" w:cs="宋体"/>
          <w:b w:val="0"/>
          <w:bCs w:val="0"/>
          <w:color w:val="FF0000"/>
          <w:kern w:val="0"/>
          <w:sz w:val="21"/>
          <w:szCs w:val="21"/>
          <w:lang w:val="en-US" w:eastAsia="zh-CN"/>
        </w:rPr>
        <w:t>7.</w:t>
      </w:r>
      <w:r>
        <w:rPr>
          <w:rFonts w:hint="eastAsia" w:ascii="宋体" w:hAnsi="宋体" w:eastAsia="宋体" w:cs="宋体"/>
          <w:color w:val="FF0000"/>
          <w:kern w:val="0"/>
          <w:sz w:val="21"/>
          <w:szCs w:val="21"/>
        </w:rPr>
        <w:t>若投标人所投产品为进口设备，则必须提供所投产品制造商出具的销售授权书。</w:t>
      </w:r>
    </w:p>
    <w:p>
      <w:pPr>
        <w:ind w:firstLine="0" w:firstLineChars="0"/>
        <w:rPr>
          <w:rFonts w:ascii="宋体" w:hAnsi="宋体" w:cs="宋体"/>
          <w:kern w:val="0"/>
          <w:szCs w:val="21"/>
        </w:rPr>
      </w:pPr>
      <w:r>
        <w:rPr>
          <w:rFonts w:hint="eastAsia"/>
          <w:lang w:val="en-US" w:eastAsia="zh-CN"/>
        </w:rPr>
        <w:t xml:space="preserve">     </w:t>
      </w:r>
      <w:r>
        <w:rPr>
          <w:rFonts w:hint="eastAsia" w:ascii="宋体" w:hAnsi="宋体" w:cs="宋体"/>
          <w:kern w:val="0"/>
          <w:szCs w:val="21"/>
        </w:rPr>
        <w:t>注：（1）“信用中国”、“中国政府采购网”、“深圳信用网”以及“深圳市政府采购监管网”为供应商信用信息的查询渠道，相关信息以开标当日的查询结果为准；</w:t>
      </w:r>
    </w:p>
    <w:p>
      <w:pPr>
        <w:numPr>
          <w:ilvl w:val="0"/>
          <w:numId w:val="12"/>
        </w:numPr>
        <w:ind w:left="210" w:leftChars="0" w:firstLine="420" w:firstLineChars="0"/>
        <w:rPr>
          <w:rFonts w:hint="eastAsia" w:ascii="宋体" w:hAnsi="宋体"/>
        </w:rPr>
      </w:pPr>
      <w:r>
        <w:rPr>
          <w:rFonts w:hint="eastAsia" w:ascii="宋体" w:hAnsi="宋体"/>
        </w:rPr>
        <w:t>供应商投标（上传投标文件）必须先行办理注册手续，具体请按照本公告“六、其他补充事宜</w:t>
      </w:r>
      <w:r>
        <w:rPr>
          <w:rFonts w:ascii="宋体" w:hAnsi="宋体"/>
        </w:rPr>
        <w:t>”</w:t>
      </w:r>
      <w:r>
        <w:rPr>
          <w:rFonts w:hint="eastAsia" w:ascii="宋体" w:hAnsi="宋体"/>
        </w:rPr>
        <w:t>相关内容指引办理。</w:t>
      </w:r>
    </w:p>
    <w:p>
      <w:pPr>
        <w:numPr>
          <w:ilvl w:val="0"/>
          <w:numId w:val="12"/>
        </w:numPr>
        <w:spacing w:line="360" w:lineRule="auto"/>
        <w:ind w:left="210" w:leftChars="0" w:firstLine="420" w:firstLineChars="0"/>
        <w:rPr>
          <w:rFonts w:hint="eastAsia" w:ascii="宋体" w:hAnsi="宋体"/>
          <w:lang w:val="en-US" w:eastAsia="zh-CN"/>
        </w:rPr>
      </w:pPr>
      <w:r>
        <w:rPr>
          <w:rFonts w:hint="eastAsia" w:ascii="宋体" w:hAnsi="宋体"/>
          <w:lang w:val="en-US" w:eastAsia="zh-CN"/>
        </w:rPr>
        <w:t>如联合体投标，投标人还必须提供《联合体投标协议》（格式自定），《联合体投标协议》须明确牵头人，并载明联合体各方承担的工作和义务。</w:t>
      </w:r>
    </w:p>
    <w:p>
      <w:pPr>
        <w:numPr>
          <w:ilvl w:val="0"/>
          <w:numId w:val="12"/>
        </w:numPr>
        <w:spacing w:line="360" w:lineRule="auto"/>
        <w:ind w:left="210" w:leftChars="0" w:firstLine="420" w:firstLineChars="0"/>
        <w:rPr>
          <w:rFonts w:hint="eastAsia" w:ascii="宋体" w:hAnsi="宋体"/>
          <w:highlight w:val="none"/>
          <w:lang w:val="en-US" w:eastAsia="zh-CN"/>
        </w:rPr>
      </w:pPr>
      <w:r>
        <w:rPr>
          <w:rFonts w:hint="eastAsia" w:ascii="宋体" w:hAnsi="宋体"/>
          <w:highlight w:val="none"/>
          <w:lang w:val="en-US" w:eastAsia="zh-CN"/>
        </w:rPr>
        <w:t>投标人如提供外文资料须同时提供对应的加盖了投标人公章的中文翻译资料。</w:t>
      </w:r>
    </w:p>
    <w:p>
      <w:pPr>
        <w:numPr>
          <w:ilvl w:val="0"/>
          <w:numId w:val="12"/>
        </w:numPr>
        <w:spacing w:line="360" w:lineRule="auto"/>
        <w:ind w:left="210" w:leftChars="0" w:firstLine="420" w:firstLineChars="0"/>
        <w:rPr>
          <w:rFonts w:hint="eastAsia" w:ascii="宋体" w:hAnsi="宋体"/>
          <w:highlight w:val="none"/>
          <w:lang w:val="en-US" w:eastAsia="zh-CN"/>
        </w:rPr>
      </w:pPr>
      <w:r>
        <w:rPr>
          <w:rFonts w:hint="eastAsia" w:ascii="宋体" w:hAnsi="宋体" w:eastAsia="宋体" w:cs="Times New Roman"/>
          <w:sz w:val="21"/>
          <w:szCs w:val="24"/>
          <w:highlight w:val="none"/>
        </w:rPr>
        <w:t>不接受为本项目提供整体设计、规范编制或者项目管理、监理、检测等服务的供应商参与投标</w:t>
      </w:r>
      <w:r>
        <w:rPr>
          <w:rFonts w:hint="eastAsia" w:ascii="宋体" w:hAnsi="宋体" w:cs="Times New Roman"/>
          <w:sz w:val="21"/>
          <w:szCs w:val="24"/>
          <w:highlight w:val="none"/>
          <w:lang w:eastAsia="zh-CN"/>
        </w:rPr>
        <w:t>。</w:t>
      </w:r>
    </w:p>
    <w:p>
      <w:pPr>
        <w:widowControl/>
        <w:tabs>
          <w:tab w:val="left" w:pos="215"/>
          <w:tab w:val="center" w:pos="381"/>
        </w:tabs>
        <w:spacing w:line="360" w:lineRule="auto"/>
        <w:ind w:firstLine="630" w:firstLineChars="300"/>
        <w:rPr>
          <w:rFonts w:hint="eastAsia" w:ascii="宋体" w:hAnsi="宋体" w:eastAsia="宋体" w:cs="宋体"/>
          <w:kern w:val="0"/>
          <w:sz w:val="21"/>
          <w:szCs w:val="21"/>
        </w:rPr>
      </w:pPr>
      <w:r>
        <w:rPr>
          <w:rFonts w:hint="eastAsia" w:ascii="宋体" w:hAnsi="宋体" w:cs="Times New Roman"/>
          <w:sz w:val="21"/>
          <w:szCs w:val="24"/>
          <w:highlight w:val="none"/>
          <w:lang w:eastAsia="zh-CN"/>
        </w:rPr>
        <w:t>（</w:t>
      </w:r>
      <w:r>
        <w:rPr>
          <w:rFonts w:hint="eastAsia" w:ascii="宋体" w:hAnsi="宋体" w:cs="Times New Roman"/>
          <w:sz w:val="21"/>
          <w:szCs w:val="24"/>
          <w:highlight w:val="none"/>
          <w:lang w:val="en-US" w:eastAsia="zh-CN"/>
        </w:rPr>
        <w:t>6</w:t>
      </w:r>
      <w:r>
        <w:rPr>
          <w:rFonts w:hint="eastAsia" w:ascii="宋体" w:hAnsi="宋体" w:cs="Times New Roman"/>
          <w:sz w:val="21"/>
          <w:szCs w:val="24"/>
          <w:highlight w:val="none"/>
          <w:lang w:eastAsia="zh-CN"/>
        </w:rPr>
        <w:t>）</w:t>
      </w:r>
      <w:r>
        <w:rPr>
          <w:rFonts w:hint="eastAsia" w:ascii="宋体" w:hAnsi="宋体" w:eastAsia="宋体" w:cs="宋体"/>
          <w:kern w:val="0"/>
          <w:sz w:val="21"/>
          <w:szCs w:val="21"/>
          <w:highlight w:val="none"/>
        </w:rPr>
        <w:t>根</w:t>
      </w:r>
      <w:r>
        <w:rPr>
          <w:rFonts w:hint="eastAsia" w:ascii="宋体" w:hAnsi="宋体" w:eastAsia="宋体" w:cs="宋体"/>
          <w:kern w:val="0"/>
          <w:sz w:val="21"/>
          <w:szCs w:val="21"/>
        </w:rPr>
        <w:t>据</w:t>
      </w:r>
      <w:r>
        <w:rPr>
          <w:rFonts w:hint="eastAsia" w:ascii="宋体" w:hAnsi="宋体" w:cs="宋体"/>
          <w:kern w:val="0"/>
          <w:sz w:val="21"/>
          <w:szCs w:val="21"/>
          <w:lang w:eastAsia="zh-CN"/>
        </w:rPr>
        <w:t>《</w:t>
      </w:r>
      <w:r>
        <w:rPr>
          <w:rFonts w:hint="eastAsia" w:ascii="宋体" w:hAnsi="宋体" w:eastAsia="宋体" w:cs="宋体"/>
          <w:kern w:val="0"/>
          <w:sz w:val="21"/>
          <w:szCs w:val="21"/>
          <w:lang w:val="en-US" w:eastAsia="zh-CN"/>
        </w:rPr>
        <w:t>关于坪山新区妇幼保健院住院综合楼医疗设备购置项目资金申请报告的批复（深坪发财复〔2016〕36号）</w:t>
      </w:r>
      <w:r>
        <w:rPr>
          <w:rFonts w:hint="eastAsia" w:ascii="宋体" w:hAnsi="宋体" w:cs="宋体"/>
          <w:kern w:val="0"/>
          <w:sz w:val="21"/>
          <w:szCs w:val="21"/>
          <w:lang w:val="en-US" w:eastAsia="zh-CN"/>
        </w:rPr>
        <w:t>》</w:t>
      </w:r>
      <w:r>
        <w:rPr>
          <w:rFonts w:hint="eastAsia" w:ascii="宋体" w:hAnsi="宋体" w:eastAsia="宋体" w:cs="宋体"/>
          <w:kern w:val="0"/>
          <w:sz w:val="21"/>
          <w:szCs w:val="21"/>
        </w:rPr>
        <w:t>批示要求，本项目采购标的中，“</w:t>
      </w:r>
      <w:r>
        <w:rPr>
          <w:rFonts w:hint="eastAsia" w:ascii="宋体" w:hAnsi="宋体" w:cs="宋体"/>
          <w:kern w:val="0"/>
          <w:szCs w:val="21"/>
        </w:rPr>
        <w:t>超声切割止血系统、电外科能量平台（高频电外科手术系统）、血液回收仪、新生儿亚低温治疗仪、亚低温治疗仪、盆底神经肌肉刺激治疗仪</w:t>
      </w:r>
      <w:r>
        <w:rPr>
          <w:rFonts w:hint="eastAsia" w:ascii="宋体" w:hAnsi="宋体" w:eastAsia="宋体" w:cs="宋体"/>
          <w:kern w:val="0"/>
          <w:sz w:val="21"/>
          <w:szCs w:val="21"/>
        </w:rPr>
        <w:t>”允许采购进口产品，但不排斥国内产品参与竞争。且在进口产品中，优先采购向我国企业转让技术，与我国企业签订消化吸收再创新方案的供应商的进口产品，其他不允许采购进口产品。</w:t>
      </w:r>
    </w:p>
    <w:p>
      <w:pPr>
        <w:pStyle w:val="2"/>
        <w:rPr>
          <w:rFonts w:hint="eastAsia"/>
          <w:lang w:val="en-US" w:eastAsia="zh-CN"/>
        </w:rPr>
      </w:pPr>
    </w:p>
    <w:p>
      <w:pPr>
        <w:spacing w:line="360" w:lineRule="auto"/>
        <w:rPr>
          <w:rFonts w:ascii="宋体" w:hAnsi="宋体" w:cs="宋体"/>
          <w:b/>
          <w:bCs/>
          <w:kern w:val="0"/>
          <w:szCs w:val="21"/>
        </w:rPr>
      </w:pPr>
      <w:r>
        <w:rPr>
          <w:rFonts w:hint="eastAsia" w:ascii="宋体" w:hAnsi="宋体" w:cs="宋体"/>
          <w:b/>
          <w:bCs/>
          <w:kern w:val="0"/>
          <w:szCs w:val="21"/>
        </w:rPr>
        <w:t>三、获取招标文件</w:t>
      </w:r>
    </w:p>
    <w:p>
      <w:pPr>
        <w:ind w:firstLine="420" w:firstLineChars="200"/>
        <w:rPr>
          <w:rFonts w:hint="eastAsia" w:ascii="宋体" w:hAnsi="宋体" w:cs="宋体"/>
          <w:kern w:val="0"/>
          <w:szCs w:val="21"/>
        </w:rPr>
      </w:pPr>
      <w:r>
        <w:rPr>
          <w:rFonts w:hint="eastAsia" w:ascii="宋体" w:hAnsi="宋体" w:cs="宋体"/>
          <w:kern w:val="0"/>
          <w:szCs w:val="21"/>
        </w:rPr>
        <w:t>时间：</w:t>
      </w:r>
      <w:r>
        <w:rPr>
          <w:rFonts w:hint="eastAsia" w:ascii="宋体" w:hAnsi="宋体" w:cs="宋体"/>
          <w:color w:val="0000FF"/>
          <w:kern w:val="0"/>
          <w:szCs w:val="21"/>
          <w:u w:val="single"/>
        </w:rPr>
        <w:t>2021年</w:t>
      </w:r>
      <w:r>
        <w:rPr>
          <w:rFonts w:hint="eastAsia" w:ascii="宋体" w:hAnsi="宋体" w:cs="宋体"/>
          <w:color w:val="0000FF"/>
          <w:kern w:val="0"/>
          <w:szCs w:val="21"/>
          <w:u w:val="single"/>
          <w:lang w:val="en-US" w:eastAsia="zh-CN"/>
        </w:rPr>
        <w:t>9</w:t>
      </w:r>
      <w:r>
        <w:rPr>
          <w:rFonts w:hint="eastAsia" w:ascii="宋体" w:hAnsi="宋体" w:cs="宋体"/>
          <w:color w:val="0000FF"/>
          <w:kern w:val="0"/>
          <w:szCs w:val="21"/>
          <w:u w:val="single"/>
        </w:rPr>
        <w:t xml:space="preserve"> 月</w:t>
      </w:r>
      <w:r>
        <w:rPr>
          <w:rFonts w:hint="eastAsia" w:ascii="宋体" w:hAnsi="宋体" w:cs="宋体"/>
          <w:color w:val="0000FF"/>
          <w:kern w:val="0"/>
          <w:szCs w:val="21"/>
          <w:u w:val="single"/>
          <w:lang w:val="en-US" w:eastAsia="zh-CN"/>
        </w:rPr>
        <w:t>10</w:t>
      </w:r>
      <w:r>
        <w:rPr>
          <w:rFonts w:hint="eastAsia" w:ascii="宋体" w:hAnsi="宋体" w:cs="宋体"/>
          <w:color w:val="0000FF"/>
          <w:kern w:val="0"/>
          <w:szCs w:val="21"/>
          <w:u w:val="single"/>
        </w:rPr>
        <w:t>日</w:t>
      </w:r>
      <w:r>
        <w:rPr>
          <w:rFonts w:hint="eastAsia" w:ascii="宋体" w:hAnsi="宋体" w:cs="宋体"/>
          <w:color w:val="0000FF"/>
          <w:kern w:val="0"/>
          <w:szCs w:val="21"/>
          <w:u w:val="single"/>
          <w:lang w:val="en-US" w:eastAsia="zh-CN"/>
        </w:rPr>
        <w:t>23:00:00</w:t>
      </w:r>
      <w:r>
        <w:rPr>
          <w:rFonts w:hint="eastAsia" w:ascii="宋体" w:hAnsi="宋体" w:cs="宋体"/>
          <w:kern w:val="0"/>
          <w:szCs w:val="21"/>
        </w:rPr>
        <w:t>至</w:t>
      </w:r>
      <w:r>
        <w:rPr>
          <w:rFonts w:hint="eastAsia" w:ascii="宋体" w:hAnsi="宋体" w:cs="宋体"/>
          <w:color w:val="0000FF"/>
          <w:kern w:val="0"/>
          <w:szCs w:val="21"/>
          <w:u w:val="single"/>
        </w:rPr>
        <w:t xml:space="preserve">2021年 </w:t>
      </w:r>
      <w:r>
        <w:rPr>
          <w:rFonts w:hint="eastAsia" w:ascii="宋体" w:hAnsi="宋体" w:cs="宋体"/>
          <w:color w:val="0000FF"/>
          <w:kern w:val="0"/>
          <w:szCs w:val="21"/>
          <w:u w:val="single"/>
          <w:lang w:val="en-US" w:eastAsia="zh-CN"/>
        </w:rPr>
        <w:t>9</w:t>
      </w:r>
      <w:r>
        <w:rPr>
          <w:rFonts w:hint="eastAsia" w:ascii="宋体" w:hAnsi="宋体" w:cs="宋体"/>
          <w:color w:val="0000FF"/>
          <w:kern w:val="0"/>
          <w:szCs w:val="21"/>
          <w:u w:val="single"/>
        </w:rPr>
        <w:t>月</w:t>
      </w:r>
      <w:r>
        <w:rPr>
          <w:rFonts w:hint="eastAsia" w:ascii="宋体" w:hAnsi="宋体" w:cs="宋体"/>
          <w:color w:val="0000FF"/>
          <w:kern w:val="0"/>
          <w:szCs w:val="21"/>
          <w:u w:val="single"/>
          <w:lang w:val="en-US" w:eastAsia="zh-CN"/>
        </w:rPr>
        <w:t>24</w:t>
      </w:r>
      <w:r>
        <w:rPr>
          <w:rFonts w:hint="eastAsia" w:ascii="宋体" w:hAnsi="宋体" w:cs="宋体"/>
          <w:color w:val="0000FF"/>
          <w:kern w:val="0"/>
          <w:szCs w:val="21"/>
          <w:u w:val="single"/>
        </w:rPr>
        <w:t xml:space="preserve"> 日</w:t>
      </w:r>
      <w:r>
        <w:rPr>
          <w:rFonts w:hint="eastAsia" w:ascii="宋体" w:hAnsi="宋体" w:cs="宋体"/>
          <w:color w:val="0000FF"/>
          <w:kern w:val="0"/>
          <w:szCs w:val="21"/>
          <w:u w:val="single"/>
          <w:lang w:val="en-US" w:eastAsia="zh-CN"/>
        </w:rPr>
        <w:t>9：30：00</w:t>
      </w:r>
      <w:r>
        <w:rPr>
          <w:rFonts w:hint="eastAsia" w:ascii="宋体" w:hAnsi="宋体" w:cs="宋体"/>
          <w:kern w:val="0"/>
          <w:szCs w:val="21"/>
        </w:rPr>
        <w:t>（北京时间）</w:t>
      </w:r>
    </w:p>
    <w:p>
      <w:pPr>
        <w:ind w:firstLine="420" w:firstLineChars="200"/>
        <w:rPr>
          <w:rFonts w:ascii="宋体" w:hAnsi="宋体" w:cs="宋体"/>
          <w:kern w:val="0"/>
          <w:szCs w:val="21"/>
        </w:rPr>
      </w:pPr>
      <w:r>
        <w:rPr>
          <w:rFonts w:hint="eastAsia" w:ascii="宋体" w:hAnsi="宋体" w:cs="宋体"/>
          <w:kern w:val="0"/>
          <w:szCs w:val="21"/>
        </w:rPr>
        <w:t>地点：登录深圳公共资源交易中心（深圳交易集团有限公司</w:t>
      </w:r>
      <w:r>
        <w:rPr>
          <w:rFonts w:hint="eastAsia" w:ascii="宋体" w:hAnsi="宋体" w:cs="宋体"/>
          <w:kern w:val="0"/>
          <w:szCs w:val="21"/>
          <w:lang w:eastAsia="zh-CN"/>
        </w:rPr>
        <w:t>坪山</w:t>
      </w:r>
      <w:r>
        <w:rPr>
          <w:rFonts w:hint="eastAsia" w:ascii="宋体" w:hAnsi="宋体" w:cs="宋体"/>
          <w:kern w:val="0"/>
          <w:szCs w:val="21"/>
        </w:rPr>
        <w:t xml:space="preserve">分公司）网站（http://ps.szzfcg.cn/）下载本项目的招标文件。 </w:t>
      </w:r>
    </w:p>
    <w:p>
      <w:pPr>
        <w:ind w:firstLine="420" w:firstLineChars="200"/>
        <w:rPr>
          <w:rFonts w:ascii="宋体" w:hAnsi="宋体" w:cs="宋体"/>
          <w:kern w:val="0"/>
          <w:szCs w:val="21"/>
        </w:rPr>
      </w:pPr>
      <w:r>
        <w:rPr>
          <w:rFonts w:hint="eastAsia" w:ascii="宋体" w:hAnsi="宋体" w:cs="宋体"/>
          <w:kern w:val="0"/>
          <w:szCs w:val="21"/>
        </w:rPr>
        <w:t xml:space="preserve">方式：在线下载。 </w:t>
      </w:r>
    </w:p>
    <w:p>
      <w:pPr>
        <w:ind w:firstLine="420" w:firstLineChars="200"/>
        <w:rPr>
          <w:rFonts w:ascii="宋体" w:hAnsi="宋体" w:cs="宋体"/>
          <w:kern w:val="0"/>
          <w:szCs w:val="21"/>
        </w:rPr>
      </w:pPr>
      <w:r>
        <w:rPr>
          <w:rFonts w:hint="eastAsia" w:ascii="宋体" w:hAnsi="宋体" w:cs="宋体"/>
          <w:kern w:val="0"/>
          <w:szCs w:val="21"/>
        </w:rPr>
        <w:t>售价：免费。</w:t>
      </w:r>
    </w:p>
    <w:p>
      <w:pPr>
        <w:spacing w:line="360" w:lineRule="auto"/>
        <w:rPr>
          <w:rFonts w:ascii="宋体" w:hAnsi="宋体" w:cs="宋体"/>
          <w:b/>
          <w:bCs/>
          <w:kern w:val="0"/>
          <w:szCs w:val="21"/>
        </w:rPr>
      </w:pPr>
      <w:r>
        <w:rPr>
          <w:rFonts w:hint="eastAsia" w:ascii="宋体" w:hAnsi="宋体" w:cs="宋体"/>
          <w:b/>
          <w:bCs/>
          <w:kern w:val="0"/>
          <w:szCs w:val="21"/>
        </w:rPr>
        <w:t>四、提交投标文件截止时间、开标时间和地点</w:t>
      </w:r>
    </w:p>
    <w:p>
      <w:pPr>
        <w:ind w:firstLine="420" w:firstLineChars="200"/>
        <w:rPr>
          <w:rFonts w:ascii="宋体" w:hAnsi="宋体" w:cs="宋体"/>
          <w:iCs/>
          <w:u w:val="single"/>
        </w:rPr>
      </w:pPr>
      <w:r>
        <w:rPr>
          <w:rFonts w:hint="eastAsia" w:ascii="宋体" w:hAnsi="宋体"/>
          <w:bCs/>
          <w:color w:val="0000FF"/>
          <w:u w:val="single"/>
        </w:rPr>
        <w:t>2021年</w:t>
      </w:r>
      <w:r>
        <w:rPr>
          <w:rFonts w:hint="eastAsia" w:ascii="宋体" w:hAnsi="宋体" w:cs="宋体"/>
          <w:color w:val="0000FF"/>
          <w:kern w:val="0"/>
          <w:szCs w:val="21"/>
          <w:u w:val="single"/>
        </w:rPr>
        <w:t xml:space="preserve"> </w:t>
      </w:r>
      <w:r>
        <w:rPr>
          <w:rFonts w:hint="eastAsia" w:ascii="宋体" w:hAnsi="宋体" w:cs="宋体"/>
          <w:color w:val="0000FF"/>
          <w:kern w:val="0"/>
          <w:szCs w:val="21"/>
          <w:u w:val="single"/>
          <w:lang w:val="en-US" w:eastAsia="zh-CN"/>
        </w:rPr>
        <w:t>9</w:t>
      </w:r>
      <w:r>
        <w:rPr>
          <w:rFonts w:hint="eastAsia" w:ascii="宋体" w:hAnsi="宋体" w:cs="宋体"/>
          <w:color w:val="0000FF"/>
          <w:kern w:val="0"/>
          <w:szCs w:val="21"/>
          <w:u w:val="single"/>
        </w:rPr>
        <w:t>月</w:t>
      </w:r>
      <w:r>
        <w:rPr>
          <w:rFonts w:hint="eastAsia" w:ascii="宋体" w:hAnsi="宋体" w:cs="宋体"/>
          <w:color w:val="0000FF"/>
          <w:kern w:val="0"/>
          <w:szCs w:val="21"/>
          <w:u w:val="single"/>
          <w:lang w:val="en-US" w:eastAsia="zh-CN"/>
        </w:rPr>
        <w:t>24</w:t>
      </w:r>
      <w:r>
        <w:rPr>
          <w:rFonts w:hint="eastAsia" w:ascii="宋体" w:hAnsi="宋体" w:cs="宋体"/>
          <w:color w:val="0000FF"/>
          <w:kern w:val="0"/>
          <w:szCs w:val="21"/>
          <w:u w:val="single"/>
        </w:rPr>
        <w:t xml:space="preserve"> 日</w:t>
      </w:r>
      <w:r>
        <w:rPr>
          <w:rFonts w:hint="eastAsia" w:ascii="宋体" w:hAnsi="宋体" w:cs="宋体"/>
          <w:color w:val="0000FF"/>
          <w:kern w:val="0"/>
          <w:szCs w:val="21"/>
          <w:u w:val="single"/>
          <w:lang w:val="en-US" w:eastAsia="zh-CN"/>
        </w:rPr>
        <w:t>9：30：00</w:t>
      </w:r>
      <w:r>
        <w:rPr>
          <w:rFonts w:hint="eastAsia" w:ascii="宋体" w:hAnsi="宋体"/>
          <w:bCs/>
        </w:rPr>
        <w:t>（北京时间）</w:t>
      </w:r>
    </w:p>
    <w:p>
      <w:pPr>
        <w:ind w:firstLine="420" w:firstLineChars="200"/>
        <w:rPr>
          <w:rFonts w:ascii="宋体" w:hAnsi="宋体"/>
          <w:bCs/>
          <w:u w:val="single"/>
        </w:rPr>
      </w:pPr>
      <w:r>
        <w:rPr>
          <w:rFonts w:hint="eastAsia" w:ascii="宋体" w:hAnsi="宋体"/>
        </w:rPr>
        <w:t>地点：</w:t>
      </w:r>
      <w:r>
        <w:rPr>
          <w:rFonts w:hint="eastAsia" w:ascii="宋体" w:hAnsi="宋体" w:cs="宋体"/>
          <w:kern w:val="0"/>
        </w:rPr>
        <w:t>深圳公共资源交易中心（深圳交易集团有限公司</w:t>
      </w:r>
      <w:r>
        <w:rPr>
          <w:rFonts w:hint="eastAsia" w:ascii="宋体" w:hAnsi="宋体" w:cs="宋体"/>
          <w:kern w:val="0"/>
          <w:lang w:eastAsia="zh-CN"/>
        </w:rPr>
        <w:t>坪山</w:t>
      </w:r>
      <w:r>
        <w:rPr>
          <w:rFonts w:hint="eastAsia" w:ascii="宋体" w:hAnsi="宋体" w:cs="宋体"/>
          <w:kern w:val="0"/>
        </w:rPr>
        <w:t>分公司）</w:t>
      </w:r>
    </w:p>
    <w:p>
      <w:pPr>
        <w:spacing w:line="360" w:lineRule="auto"/>
        <w:rPr>
          <w:rFonts w:ascii="宋体" w:hAnsi="宋体" w:cs="宋体"/>
          <w:b/>
          <w:bCs/>
          <w:kern w:val="0"/>
          <w:szCs w:val="21"/>
        </w:rPr>
      </w:pPr>
      <w:r>
        <w:rPr>
          <w:rFonts w:hint="eastAsia" w:ascii="宋体" w:hAnsi="宋体" w:cs="宋体"/>
          <w:b/>
          <w:bCs/>
          <w:kern w:val="0"/>
          <w:szCs w:val="21"/>
        </w:rPr>
        <w:t>五、公告期限</w:t>
      </w:r>
    </w:p>
    <w:p>
      <w:pPr>
        <w:ind w:firstLine="420" w:firstLineChars="200"/>
        <w:rPr>
          <w:rFonts w:ascii="宋体" w:hAnsi="宋体" w:cs="宋体"/>
          <w:kern w:val="0"/>
        </w:rPr>
      </w:pPr>
      <w:r>
        <w:rPr>
          <w:rFonts w:hint="eastAsia" w:ascii="宋体" w:hAnsi="宋体" w:cs="宋体"/>
          <w:kern w:val="0"/>
        </w:rPr>
        <w:t>自本公告发布之日起5个工作日。</w:t>
      </w:r>
    </w:p>
    <w:p>
      <w:pPr>
        <w:spacing w:line="360" w:lineRule="auto"/>
        <w:rPr>
          <w:rFonts w:ascii="宋体" w:hAnsi="宋体" w:cs="宋体"/>
          <w:b/>
          <w:bCs/>
          <w:kern w:val="0"/>
          <w:szCs w:val="21"/>
        </w:rPr>
      </w:pPr>
      <w:r>
        <w:rPr>
          <w:rFonts w:hint="eastAsia" w:ascii="宋体" w:hAnsi="宋体" w:cs="宋体"/>
          <w:b/>
          <w:bCs/>
          <w:kern w:val="0"/>
          <w:szCs w:val="21"/>
        </w:rPr>
        <w:t>六、其他补充事宜</w:t>
      </w:r>
    </w:p>
    <w:p>
      <w:pPr>
        <w:ind w:firstLine="420" w:firstLineChars="200"/>
        <w:rPr>
          <w:rFonts w:ascii="宋体" w:hAnsi="宋体"/>
        </w:rPr>
      </w:pPr>
      <w:r>
        <w:rPr>
          <w:rFonts w:hint="eastAsia" w:ascii="宋体" w:hAnsi="宋体"/>
        </w:rPr>
        <w:t>1.本项目实行网上投标，采用电子投标文件。</w:t>
      </w:r>
    </w:p>
    <w:p>
      <w:pPr>
        <w:ind w:firstLine="420" w:firstLineChars="200"/>
        <w:rPr>
          <w:rFonts w:ascii="宋体" w:hAnsi="宋体"/>
        </w:rPr>
      </w:pPr>
      <w:r>
        <w:rPr>
          <w:rFonts w:hint="eastAsia" w:ascii="宋体" w:hAnsi="宋体"/>
        </w:rPr>
        <w:t>2.报名操作：投标人如确定参加投标，首先要在深圳政府采购网上报名投标，方法为登录深圳公共资源交易中心（深圳交易集团有限公司政府采购业务分公司）网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w:t>
      </w:r>
      <w:r>
        <w:rPr>
          <w:rFonts w:ascii="宋体" w:hAnsi="宋体"/>
        </w:rPr>
        <w:t>深圳公共资源交易中心（深圳交易集团有限公司政府采购业务分公司）</w:t>
      </w:r>
      <w:r>
        <w:rPr>
          <w:rFonts w:hint="eastAsia" w:ascii="宋体" w:hAnsi="宋体"/>
        </w:rPr>
        <w:t>（</w:t>
      </w:r>
      <w:r>
        <w:rPr>
          <w:rFonts w:ascii="宋体" w:hAnsi="宋体"/>
        </w:rPr>
        <w:t>http://www.szzfcg.cn/</w:t>
      </w:r>
      <w:r>
        <w:rPr>
          <w:rFonts w:hint="eastAsia" w:ascii="宋体" w:hAnsi="宋体"/>
        </w:rPr>
        <w:t>）,先办理注册手续（注册咨询：83938966；电子密钥咨询：83948165 4008301330 ），再进行投标报名。在网上报名后，点击“应标管理→下载招标文件”进行招标文件的下载。</w:t>
      </w:r>
    </w:p>
    <w:p>
      <w:pPr>
        <w:ind w:firstLine="420" w:firstLineChars="200"/>
        <w:rPr>
          <w:rFonts w:ascii="宋体" w:hAnsi="宋体"/>
        </w:rPr>
      </w:pPr>
      <w:r>
        <w:rPr>
          <w:rFonts w:hint="eastAsia" w:ascii="宋体" w:hAnsi="宋体"/>
        </w:rPr>
        <w:t>3.投标操作：具体操作为登录“深圳公共资源交易中心（深圳交易集团有限公司</w:t>
      </w:r>
      <w:r>
        <w:rPr>
          <w:rFonts w:hint="eastAsia" w:ascii="宋体" w:hAnsi="宋体"/>
          <w:lang w:eastAsia="zh-CN"/>
        </w:rPr>
        <w:t>坪山</w:t>
      </w:r>
      <w:r>
        <w:rPr>
          <w:rFonts w:hint="eastAsia" w:ascii="宋体" w:hAnsi="宋体"/>
        </w:rPr>
        <w:t>分公司）网”，用“应标管理→上传投标文件”功能点上传投标文件。本项目电子投标文件最大容量为100MB，超过此容量的文件将被拒绝。</w:t>
      </w:r>
    </w:p>
    <w:p>
      <w:pPr>
        <w:ind w:firstLine="420" w:firstLineChars="200"/>
        <w:rPr>
          <w:rFonts w:ascii="宋体" w:hAnsi="宋体"/>
        </w:rPr>
      </w:pPr>
      <w:r>
        <w:rPr>
          <w:rFonts w:hint="eastAsia" w:ascii="宋体" w:hAnsi="宋体"/>
        </w:rPr>
        <w:t>4.开标操作：投标人可以登录“深圳公共资源交易中心（深圳交易集团有限公司</w:t>
      </w:r>
      <w:r>
        <w:rPr>
          <w:rFonts w:hint="eastAsia" w:ascii="宋体" w:hAnsi="宋体"/>
          <w:lang w:eastAsia="zh-CN"/>
        </w:rPr>
        <w:t>坪山</w:t>
      </w:r>
      <w:r>
        <w:rPr>
          <w:rFonts w:hint="eastAsia" w:ascii="宋体" w:hAnsi="宋体"/>
        </w:rPr>
        <w:t>分公司）网站”，在系统登录首页面即可查看开标情况。</w:t>
      </w:r>
    </w:p>
    <w:p>
      <w:pPr>
        <w:ind w:firstLine="420" w:firstLineChars="200"/>
        <w:rPr>
          <w:rFonts w:ascii="宋体" w:hAnsi="宋体"/>
        </w:rPr>
      </w:pPr>
      <w:r>
        <w:rPr>
          <w:rFonts w:ascii="宋体" w:hAnsi="宋体"/>
        </w:rPr>
        <w:t>5</w:t>
      </w:r>
      <w:r>
        <w:rPr>
          <w:rFonts w:hint="eastAsia" w:ascii="宋体" w:hAnsi="宋体"/>
        </w:rPr>
        <w:t>.采购文件澄清/修改事项：</w:t>
      </w:r>
      <w:r>
        <w:rPr>
          <w:rFonts w:hint="eastAsia" w:ascii="宋体" w:hAnsi="宋体"/>
          <w:bCs/>
          <w:color w:val="0000FF"/>
          <w:u w:val="single"/>
        </w:rPr>
        <w:t>2021年</w:t>
      </w:r>
      <w:r>
        <w:rPr>
          <w:rFonts w:hint="eastAsia" w:ascii="宋体" w:hAnsi="宋体"/>
          <w:bCs/>
          <w:color w:val="0000FF"/>
          <w:u w:val="single"/>
          <w:lang w:val="en-US" w:eastAsia="zh-CN"/>
        </w:rPr>
        <w:t>9</w:t>
      </w:r>
      <w:r>
        <w:rPr>
          <w:rFonts w:hint="eastAsia" w:ascii="宋体" w:hAnsi="宋体"/>
          <w:bCs/>
          <w:color w:val="0000FF"/>
          <w:u w:val="single"/>
        </w:rPr>
        <w:t xml:space="preserve">月 </w:t>
      </w:r>
      <w:r>
        <w:rPr>
          <w:rFonts w:hint="eastAsia" w:ascii="宋体" w:hAnsi="宋体"/>
          <w:bCs/>
          <w:color w:val="0000FF"/>
          <w:u w:val="single"/>
          <w:lang w:val="en-US" w:eastAsia="zh-CN"/>
        </w:rPr>
        <w:t>15</w:t>
      </w:r>
      <w:r>
        <w:rPr>
          <w:rFonts w:hint="eastAsia" w:ascii="宋体" w:hAnsi="宋体"/>
          <w:bCs/>
          <w:color w:val="0000FF"/>
          <w:u w:val="single"/>
        </w:rPr>
        <w:t xml:space="preserve"> 日</w:t>
      </w:r>
      <w:r>
        <w:rPr>
          <w:rFonts w:hint="eastAsia" w:ascii="宋体" w:hAnsi="宋体"/>
        </w:rPr>
        <w:t>（北京时间），供应商如认为采购文件存在不明确、不清晰和前后不一致等问题，要求对采购文件作出澄清的，可登录深圳公共资源交易中心（深圳交易集团有限公司</w:t>
      </w:r>
      <w:r>
        <w:rPr>
          <w:rFonts w:hint="eastAsia" w:ascii="宋体" w:hAnsi="宋体"/>
          <w:lang w:eastAsia="zh-CN"/>
        </w:rPr>
        <w:t>坪山</w:t>
      </w:r>
      <w:r>
        <w:rPr>
          <w:rFonts w:hint="eastAsia" w:ascii="宋体" w:hAnsi="宋体"/>
        </w:rPr>
        <w:t>分公司）网，在“应标管理→提出采购文件澄清要求”功能点中填写需澄清内容。</w:t>
      </w:r>
      <w:r>
        <w:rPr>
          <w:rFonts w:hint="eastAsia" w:ascii="宋体" w:hAnsi="宋体"/>
          <w:bCs/>
          <w:color w:val="0000FF"/>
          <w:u w:val="single"/>
        </w:rPr>
        <w:t>2021年</w:t>
      </w:r>
      <w:r>
        <w:rPr>
          <w:rFonts w:hint="eastAsia" w:ascii="宋体" w:hAnsi="宋体"/>
          <w:bCs/>
          <w:color w:val="0000FF"/>
          <w:u w:val="single"/>
          <w:lang w:val="en-US" w:eastAsia="zh-CN"/>
        </w:rPr>
        <w:t>9</w:t>
      </w:r>
      <w:r>
        <w:rPr>
          <w:rFonts w:hint="eastAsia" w:ascii="宋体" w:hAnsi="宋体"/>
          <w:bCs/>
          <w:color w:val="0000FF"/>
          <w:u w:val="single"/>
        </w:rPr>
        <w:t xml:space="preserve">  月 </w:t>
      </w:r>
      <w:r>
        <w:rPr>
          <w:rFonts w:hint="eastAsia" w:ascii="宋体" w:hAnsi="宋体"/>
          <w:bCs/>
          <w:color w:val="0000FF"/>
          <w:u w:val="single"/>
          <w:lang w:val="en-US" w:eastAsia="zh-CN"/>
        </w:rPr>
        <w:t>17</w:t>
      </w:r>
      <w:r>
        <w:rPr>
          <w:rFonts w:hint="eastAsia" w:ascii="宋体" w:hAnsi="宋体"/>
          <w:bCs/>
          <w:color w:val="0000FF"/>
          <w:u w:val="single"/>
        </w:rPr>
        <w:t xml:space="preserve"> 日（北京时间）</w:t>
      </w:r>
      <w:r>
        <w:rPr>
          <w:rFonts w:hint="eastAsia" w:ascii="宋体" w:hAnsi="宋体"/>
        </w:rPr>
        <w:t>将采购文件澄清/修改情况在“应标管理→采购文件澄清/修改查询”中公布，望投标人予以关注。</w:t>
      </w:r>
    </w:p>
    <w:p>
      <w:pPr>
        <w:ind w:firstLine="420" w:firstLineChars="200"/>
        <w:rPr>
          <w:rFonts w:ascii="宋体" w:hAnsi="宋体"/>
        </w:rPr>
      </w:pPr>
      <w:r>
        <w:rPr>
          <w:rFonts w:hint="eastAsia" w:ascii="宋体" w:hAnsi="宋体"/>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w:t>
      </w:r>
      <w:r>
        <w:rPr>
          <w:rFonts w:hint="eastAsia" w:ascii="宋体" w:hAnsi="宋体"/>
          <w:lang w:eastAsia="zh-CN"/>
        </w:rPr>
        <w:t>，</w:t>
      </w:r>
      <w:r>
        <w:rPr>
          <w:rFonts w:ascii="宋体" w:hAnsi="宋体"/>
          <w:color w:val="000000"/>
          <w:sz w:val="21"/>
          <w:szCs w:val="21"/>
        </w:rPr>
        <w:t>质疑材料的内容应</w:t>
      </w:r>
      <w:r>
        <w:rPr>
          <w:rFonts w:hint="eastAsia" w:ascii="宋体" w:hAnsi="宋体"/>
          <w:color w:val="000000"/>
          <w:szCs w:val="21"/>
        </w:rPr>
        <w:t>当</w:t>
      </w:r>
      <w:r>
        <w:rPr>
          <w:rFonts w:ascii="宋体" w:hAnsi="宋体"/>
          <w:color w:val="000000"/>
          <w:sz w:val="21"/>
          <w:szCs w:val="21"/>
        </w:rPr>
        <w:t>符合《政府采购质疑和投诉办法》（财政部令第94号）第十二条的要求</w:t>
      </w:r>
      <w:r>
        <w:rPr>
          <w:rFonts w:hint="eastAsia" w:ascii="宋体" w:hAnsi="宋体"/>
        </w:rPr>
        <w:t>。地址：深圳市</w:t>
      </w:r>
      <w:r>
        <w:rPr>
          <w:rFonts w:hint="eastAsia" w:ascii="宋体" w:hAnsi="宋体"/>
          <w:lang w:eastAsia="zh-CN"/>
        </w:rPr>
        <w:t>坪山</w:t>
      </w:r>
      <w:r>
        <w:rPr>
          <w:rFonts w:hint="eastAsia" w:ascii="宋体" w:hAnsi="宋体"/>
        </w:rPr>
        <w:t>区</w:t>
      </w:r>
      <w:r>
        <w:rPr>
          <w:rFonts w:hint="eastAsia" w:ascii="宋体" w:hAnsi="宋体"/>
          <w:lang w:eastAsia="zh-CN"/>
        </w:rPr>
        <w:t>东纵路</w:t>
      </w:r>
      <w:r>
        <w:rPr>
          <w:rFonts w:hint="eastAsia" w:ascii="宋体" w:hAnsi="宋体"/>
        </w:rPr>
        <w:t>路</w:t>
      </w:r>
      <w:r>
        <w:rPr>
          <w:rFonts w:hint="eastAsia" w:ascii="宋体" w:hAnsi="宋体"/>
          <w:lang w:val="en-US" w:eastAsia="zh-CN"/>
        </w:rPr>
        <w:t>147</w:t>
      </w:r>
      <w:r>
        <w:rPr>
          <w:rFonts w:hint="eastAsia" w:ascii="宋体" w:hAnsi="宋体"/>
        </w:rPr>
        <w:t>号</w:t>
      </w:r>
      <w:r>
        <w:rPr>
          <w:rFonts w:hint="eastAsia" w:ascii="宋体" w:hAnsi="宋体"/>
          <w:lang w:eastAsia="zh-CN"/>
        </w:rPr>
        <w:t>旭丰</w:t>
      </w:r>
      <w:r>
        <w:rPr>
          <w:rFonts w:hint="eastAsia" w:ascii="宋体" w:hAnsi="宋体"/>
        </w:rPr>
        <w:t>楼，联系电话：0755-</w:t>
      </w:r>
      <w:r>
        <w:rPr>
          <w:rFonts w:hint="eastAsia" w:ascii="宋体" w:hAnsi="宋体"/>
          <w:lang w:val="en-US" w:eastAsia="zh-CN"/>
        </w:rPr>
        <w:t>89354133</w:t>
      </w:r>
      <w:r>
        <w:rPr>
          <w:rFonts w:hint="eastAsia" w:ascii="宋体" w:hAnsi="宋体"/>
        </w:rPr>
        <w:t>。根据《深圳经济特区政府采购条例》第四十二条“供应商投诉的事项应当是经过质疑的事项”的规定，未经正式质疑的，将影响供应商行使向财政部门提起投诉的权利。）</w:t>
      </w:r>
    </w:p>
    <w:p>
      <w:pPr>
        <w:ind w:firstLine="420" w:firstLineChars="200"/>
        <w:rPr>
          <w:rFonts w:ascii="宋体" w:hAnsi="宋体"/>
        </w:rPr>
      </w:pPr>
      <w:r>
        <w:rPr>
          <w:rFonts w:ascii="宋体" w:hAnsi="宋体"/>
        </w:rPr>
        <w:t>6</w:t>
      </w:r>
      <w:r>
        <w:rPr>
          <w:rFonts w:hint="eastAsia" w:ascii="宋体" w:hAnsi="宋体"/>
        </w:rPr>
        <w:t>.深圳公共资源交易中心（深圳交易集团有限公司</w:t>
      </w:r>
      <w:r>
        <w:rPr>
          <w:rFonts w:hint="eastAsia" w:ascii="宋体" w:hAnsi="宋体"/>
          <w:lang w:eastAsia="zh-CN"/>
        </w:rPr>
        <w:t>坪山</w:t>
      </w:r>
      <w:r>
        <w:rPr>
          <w:rFonts w:hint="eastAsia" w:ascii="宋体" w:hAnsi="宋体"/>
        </w:rPr>
        <w:t>分公司）有权对投标人就本项目要求提供的相关证明资料（原件）进行审查。供应商提供虚假资料被查实的，则可能面临被取消本项目中标资格、列入不良行为记录名单和三年内禁止参与深圳市政府采购活动的风险。</w:t>
      </w:r>
    </w:p>
    <w:p>
      <w:pPr>
        <w:ind w:firstLine="420" w:firstLineChars="200"/>
        <w:rPr>
          <w:rFonts w:ascii="宋体" w:hAnsi="宋体"/>
        </w:rPr>
      </w:pPr>
      <w:r>
        <w:rPr>
          <w:rFonts w:ascii="宋体" w:hAnsi="宋体"/>
        </w:rPr>
        <w:t>7</w:t>
      </w:r>
      <w:r>
        <w:rPr>
          <w:rFonts w:hint="eastAsia" w:ascii="宋体" w:hAnsi="宋体"/>
        </w:rPr>
        <w:t>.本招标公告及本项目招标文件所涉及的时间一律为北京时间。投标人有义务在招标活动期间浏览深圳公共资源交易中心（深圳交易集团有限公司</w:t>
      </w:r>
      <w:r>
        <w:rPr>
          <w:rFonts w:hint="eastAsia" w:ascii="宋体" w:hAnsi="宋体"/>
          <w:lang w:eastAsia="zh-CN"/>
        </w:rPr>
        <w:t>坪山</w:t>
      </w:r>
      <w:r>
        <w:rPr>
          <w:rFonts w:hint="eastAsia" w:ascii="宋体" w:hAnsi="宋体"/>
        </w:rPr>
        <w:t>分公司）网（</w:t>
      </w:r>
      <w:r>
        <w:rPr>
          <w:rFonts w:hint="eastAsia" w:ascii="宋体" w:hAnsi="宋体" w:cs="宋体"/>
          <w:kern w:val="0"/>
          <w:szCs w:val="21"/>
        </w:rPr>
        <w:t>http://ps.szzfcg.cn/</w:t>
      </w:r>
      <w:r>
        <w:rPr>
          <w:rFonts w:hint="eastAsia" w:ascii="宋体" w:hAnsi="宋体"/>
        </w:rPr>
        <w:t>），在深圳公共资源交易中心（深圳交易集团有限公司</w:t>
      </w:r>
      <w:r>
        <w:rPr>
          <w:rFonts w:hint="eastAsia" w:ascii="宋体" w:hAnsi="宋体"/>
          <w:lang w:eastAsia="zh-CN"/>
        </w:rPr>
        <w:t>坪山</w:t>
      </w:r>
      <w:r>
        <w:rPr>
          <w:rFonts w:hint="eastAsia" w:ascii="宋体" w:hAnsi="宋体"/>
        </w:rPr>
        <w:t>分公司）网上公布的与本次招标项目有关的信息视为已送达各投标人。</w:t>
      </w:r>
    </w:p>
    <w:p>
      <w:pPr>
        <w:ind w:firstLine="420" w:firstLineChars="200"/>
        <w:rPr>
          <w:rFonts w:hint="eastAsia" w:ascii="宋体" w:hAnsi="宋体"/>
        </w:rPr>
      </w:pPr>
      <w:r>
        <w:rPr>
          <w:rFonts w:ascii="宋体" w:hAnsi="宋体"/>
        </w:rPr>
        <w:t>8</w:t>
      </w:r>
      <w:r>
        <w:rPr>
          <w:rFonts w:hint="eastAsia" w:ascii="宋体" w:hAnsi="宋体"/>
        </w:rPr>
        <w:t>.本项目不需要投标保证金。</w:t>
      </w:r>
    </w:p>
    <w:p>
      <w:pPr>
        <w:ind w:firstLine="420" w:firstLineChars="200"/>
        <w:rPr>
          <w:rFonts w:hint="eastAsia" w:ascii="宋体" w:hAnsi="宋体"/>
          <w:highlight w:val="none"/>
          <w:lang w:val="en-US" w:eastAsia="zh-CN"/>
        </w:rPr>
      </w:pPr>
      <w:r>
        <w:rPr>
          <w:rFonts w:hint="eastAsia" w:ascii="宋体" w:hAnsi="宋体"/>
          <w:highlight w:val="none"/>
          <w:lang w:val="en-US" w:eastAsia="zh-CN"/>
        </w:rPr>
        <w:t>9.本项目不安排踏勘。</w:t>
      </w:r>
    </w:p>
    <w:p>
      <w:pPr>
        <w:ind w:firstLine="420" w:firstLineChars="200"/>
        <w:rPr>
          <w:rFonts w:hint="eastAsia" w:ascii="宋体" w:hAnsi="宋体"/>
          <w:highlight w:val="none"/>
          <w:lang w:val="en-US" w:eastAsia="zh-CN"/>
        </w:rPr>
      </w:pPr>
      <w:r>
        <w:rPr>
          <w:rFonts w:hint="eastAsia" w:ascii="宋体" w:hAnsi="宋体"/>
          <w:highlight w:val="none"/>
          <w:lang w:val="en-US" w:eastAsia="zh-CN"/>
        </w:rPr>
        <w:t>10.本项目提交样品时间：无。</w:t>
      </w:r>
    </w:p>
    <w:p>
      <w:pPr>
        <w:ind w:firstLine="420" w:firstLineChars="200"/>
        <w:rPr>
          <w:rFonts w:hint="default" w:ascii="宋体" w:hAnsi="宋体" w:eastAsia="宋体"/>
          <w:highlight w:val="none"/>
          <w:lang w:val="en-US" w:eastAsia="zh-CN"/>
        </w:rPr>
      </w:pPr>
      <w:r>
        <w:rPr>
          <w:rFonts w:hint="eastAsia" w:ascii="宋体" w:hAnsi="宋体"/>
          <w:highlight w:val="none"/>
          <w:lang w:val="en-US" w:eastAsia="zh-CN"/>
        </w:rPr>
        <w:t>11.</w:t>
      </w:r>
      <w:r>
        <w:rPr>
          <w:rFonts w:hint="eastAsia" w:ascii="宋体" w:hAnsi="宋体" w:cs="Times New Roman"/>
          <w:sz w:val="21"/>
          <w:highlight w:val="none"/>
        </w:rPr>
        <w:t>现场演示签到截止时间</w:t>
      </w:r>
      <w:r>
        <w:rPr>
          <w:rFonts w:hint="eastAsia"/>
          <w:lang w:eastAsia="zh-CN"/>
        </w:rPr>
        <w:t>：</w:t>
      </w:r>
      <w:r>
        <w:rPr>
          <w:rFonts w:hint="eastAsia"/>
          <w:lang w:val="en-US" w:eastAsia="zh-CN"/>
        </w:rPr>
        <w:t>无</w:t>
      </w:r>
    </w:p>
    <w:p>
      <w:pPr>
        <w:spacing w:line="360" w:lineRule="auto"/>
        <w:rPr>
          <w:rFonts w:ascii="宋体" w:hAnsi="宋体" w:cs="宋体"/>
          <w:b/>
          <w:bCs/>
          <w:kern w:val="0"/>
          <w:szCs w:val="21"/>
        </w:rPr>
      </w:pPr>
      <w:r>
        <w:rPr>
          <w:rFonts w:hint="eastAsia" w:ascii="宋体" w:hAnsi="宋体" w:cs="宋体"/>
          <w:b/>
          <w:bCs/>
          <w:kern w:val="0"/>
          <w:szCs w:val="21"/>
        </w:rPr>
        <w:t>七、对本次采购提出询问，请按以下方式联系</w:t>
      </w:r>
    </w:p>
    <w:p>
      <w:pPr>
        <w:widowControl/>
        <w:spacing w:line="400" w:lineRule="exact"/>
        <w:jc w:val="left"/>
        <w:rPr>
          <w:rFonts w:ascii="仿宋_GB2312" w:eastAsia="仿宋_GB2312"/>
          <w:sz w:val="24"/>
        </w:rPr>
      </w:pPr>
      <w:r>
        <w:rPr>
          <w:rFonts w:hint="eastAsia" w:ascii="仿宋" w:hAnsi="仿宋" w:eastAsia="仿宋" w:cs="仿宋"/>
          <w:sz w:val="24"/>
        </w:rPr>
        <w:t>　</w:t>
      </w:r>
      <w:r>
        <w:rPr>
          <w:rFonts w:ascii="仿宋" w:hAnsi="仿宋" w:eastAsia="仿宋" w:cs="仿宋"/>
          <w:sz w:val="24"/>
        </w:rPr>
        <w:t>1.</w:t>
      </w:r>
      <w:r>
        <w:rPr>
          <w:rFonts w:hint="eastAsia" w:ascii="仿宋" w:hAnsi="仿宋" w:eastAsia="仿宋" w:cs="仿宋"/>
          <w:sz w:val="24"/>
        </w:rPr>
        <w:t>采购人信息</w:t>
      </w:r>
    </w:p>
    <w:p>
      <w:pPr>
        <w:spacing w:line="400" w:lineRule="exact"/>
        <w:ind w:left="0" w:leftChars="0" w:firstLine="480" w:firstLineChars="200"/>
        <w:jc w:val="left"/>
        <w:rPr>
          <w:rFonts w:ascii="仿宋" w:hAnsi="仿宋" w:eastAsia="仿宋" w:cs="仿宋"/>
          <w:sz w:val="24"/>
          <w:u w:val="single"/>
        </w:rPr>
      </w:pPr>
      <w:r>
        <w:rPr>
          <w:rFonts w:hint="eastAsia" w:ascii="仿宋" w:hAnsi="仿宋" w:eastAsia="仿宋" w:cs="仿宋"/>
          <w:sz w:val="24"/>
        </w:rPr>
        <w:t>名　称：</w:t>
      </w:r>
      <w:r>
        <w:rPr>
          <w:rFonts w:hint="eastAsia" w:ascii="仿宋" w:hAnsi="仿宋" w:eastAsia="仿宋" w:cs="仿宋"/>
          <w:sz w:val="24"/>
          <w:u w:val="single"/>
        </w:rPr>
        <w:t>深圳市坪山区卫生健康局</w:t>
      </w:r>
    </w:p>
    <w:p>
      <w:pPr>
        <w:spacing w:line="400" w:lineRule="exact"/>
        <w:ind w:left="0" w:leftChars="0" w:firstLine="480" w:firstLineChars="200"/>
        <w:jc w:val="left"/>
        <w:rPr>
          <w:rFonts w:ascii="仿宋" w:hAnsi="仿宋" w:eastAsia="仿宋"/>
          <w:sz w:val="24"/>
        </w:rPr>
      </w:pPr>
      <w:r>
        <w:rPr>
          <w:rFonts w:hint="eastAsia" w:ascii="仿宋" w:hAnsi="仿宋" w:eastAsia="仿宋" w:cs="仿宋"/>
          <w:sz w:val="24"/>
        </w:rPr>
        <w:t>地　址：</w:t>
      </w:r>
      <w:r>
        <w:rPr>
          <w:rFonts w:hint="eastAsia" w:ascii="仿宋" w:hAnsi="仿宋" w:eastAsia="仿宋" w:cs="仿宋"/>
          <w:sz w:val="24"/>
          <w:u w:val="single"/>
        </w:rPr>
        <w:t>深圳市坪山区龙田街道坪山大道5068号区政府第二办公楼二楼</w:t>
      </w:r>
    </w:p>
    <w:p>
      <w:pPr>
        <w:spacing w:line="400" w:lineRule="exact"/>
        <w:ind w:left="0" w:leftChars="0" w:firstLine="480" w:firstLineChars="200"/>
        <w:jc w:val="left"/>
        <w:rPr>
          <w:rFonts w:ascii="仿宋" w:hAnsi="仿宋" w:eastAsia="仿宋" w:cs="仿宋"/>
          <w:sz w:val="24"/>
        </w:rPr>
      </w:pPr>
      <w:r>
        <w:rPr>
          <w:rFonts w:hint="eastAsia" w:ascii="仿宋" w:hAnsi="仿宋" w:eastAsia="仿宋" w:cs="仿宋"/>
          <w:sz w:val="24"/>
        </w:rPr>
        <w:t>联系方式：</w:t>
      </w:r>
      <w:r>
        <w:rPr>
          <w:rFonts w:hint="eastAsia" w:ascii="仿宋" w:hAnsi="仿宋" w:eastAsia="仿宋" w:cs="仿宋"/>
          <w:sz w:val="24"/>
          <w:u w:val="single"/>
        </w:rPr>
        <w:t>付辉，0755-84622192</w:t>
      </w:r>
    </w:p>
    <w:p>
      <w:pPr>
        <w:spacing w:line="400" w:lineRule="exact"/>
        <w:ind w:left="0" w:leftChars="0" w:firstLine="480" w:firstLineChars="200"/>
        <w:jc w:val="left"/>
        <w:rPr>
          <w:rFonts w:ascii="仿宋" w:hAnsi="仿宋" w:eastAsia="仿宋"/>
          <w:sz w:val="24"/>
        </w:rPr>
      </w:pPr>
      <w:r>
        <w:rPr>
          <w:rFonts w:ascii="仿宋" w:hAnsi="仿宋" w:eastAsia="仿宋" w:cs="仿宋"/>
          <w:sz w:val="24"/>
        </w:rPr>
        <w:t>2.</w:t>
      </w:r>
      <w:r>
        <w:rPr>
          <w:rFonts w:hint="eastAsia" w:ascii="仿宋" w:hAnsi="仿宋" w:eastAsia="仿宋" w:cs="仿宋"/>
          <w:sz w:val="24"/>
        </w:rPr>
        <w:t>采购代理机构信息</w:t>
      </w:r>
    </w:p>
    <w:p>
      <w:pPr>
        <w:spacing w:line="400" w:lineRule="exact"/>
        <w:ind w:firstLine="480" w:firstLineChars="200"/>
        <w:rPr>
          <w:rFonts w:ascii="仿宋" w:hAnsi="仿宋" w:eastAsia="仿宋"/>
          <w:sz w:val="24"/>
        </w:rPr>
      </w:pPr>
      <w:r>
        <w:rPr>
          <w:rFonts w:hint="eastAsia" w:ascii="仿宋" w:hAnsi="仿宋" w:eastAsia="仿宋" w:cs="仿宋"/>
          <w:sz w:val="24"/>
        </w:rPr>
        <w:t>名　称：</w:t>
      </w:r>
      <w:r>
        <w:rPr>
          <w:rFonts w:hint="eastAsia" w:ascii="仿宋" w:hAnsi="仿宋" w:eastAsia="仿宋" w:cs="仿宋"/>
          <w:sz w:val="24"/>
          <w:u w:val="single"/>
        </w:rPr>
        <w:t>深圳交易集团有限公司坪山分公司</w:t>
      </w:r>
    </w:p>
    <w:p>
      <w:pPr>
        <w:spacing w:line="400" w:lineRule="exact"/>
        <w:ind w:firstLine="480" w:firstLineChars="200"/>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深圳市坪山区东纵路147号旭丰楼B座8楼</w:t>
      </w:r>
    </w:p>
    <w:p>
      <w:pPr>
        <w:spacing w:line="400" w:lineRule="exact"/>
        <w:ind w:firstLine="480" w:firstLineChars="200"/>
        <w:rPr>
          <w:rFonts w:ascii="仿宋" w:hAnsi="仿宋" w:eastAsia="仿宋"/>
          <w:sz w:val="24"/>
        </w:rPr>
      </w:pPr>
      <w:r>
        <w:rPr>
          <w:rFonts w:hint="eastAsia" w:ascii="仿宋" w:hAnsi="仿宋" w:eastAsia="仿宋" w:cs="仿宋"/>
          <w:sz w:val="24"/>
        </w:rPr>
        <w:t>网站：</w:t>
      </w:r>
      <w:r>
        <w:rPr>
          <w:rFonts w:ascii="仿宋" w:hAnsi="仿宋" w:eastAsia="仿宋" w:cs="仿宋"/>
          <w:sz w:val="24"/>
          <w:u w:val="single"/>
        </w:rPr>
        <w:t>http://ps.szzfcg.cn</w:t>
      </w:r>
    </w:p>
    <w:p>
      <w:pPr>
        <w:spacing w:line="400" w:lineRule="exact"/>
        <w:ind w:firstLine="480" w:firstLineChars="200"/>
        <w:rPr>
          <w:rFonts w:ascii="仿宋" w:hAnsi="仿宋" w:eastAsia="仿宋"/>
          <w:sz w:val="24"/>
        </w:rPr>
      </w:pPr>
      <w:r>
        <w:rPr>
          <w:rFonts w:hint="eastAsia" w:ascii="仿宋" w:hAnsi="仿宋" w:eastAsia="仿宋" w:cs="仿宋"/>
          <w:sz w:val="24"/>
        </w:rPr>
        <w:t>联系方式：</w:t>
      </w:r>
      <w:r>
        <w:rPr>
          <w:rFonts w:hint="eastAsia" w:ascii="仿宋" w:hAnsi="仿宋" w:eastAsia="仿宋" w:cs="仿宋"/>
          <w:sz w:val="24"/>
          <w:u w:val="single"/>
        </w:rPr>
        <w:t>0755-89354133</w:t>
      </w:r>
    </w:p>
    <w:p>
      <w:pPr>
        <w:spacing w:line="400" w:lineRule="exact"/>
        <w:ind w:firstLine="480" w:firstLineChars="200"/>
        <w:rPr>
          <w:rFonts w:ascii="仿宋" w:hAnsi="仿宋" w:eastAsia="仿宋"/>
          <w:sz w:val="24"/>
          <w:u w:val="single"/>
        </w:rPr>
      </w:pPr>
      <w:r>
        <w:rPr>
          <w:rFonts w:ascii="仿宋" w:hAnsi="仿宋" w:eastAsia="仿宋" w:cs="仿宋"/>
          <w:sz w:val="24"/>
        </w:rPr>
        <w:t>3.</w:t>
      </w:r>
      <w:r>
        <w:rPr>
          <w:rFonts w:hint="eastAsia" w:ascii="仿宋" w:hAnsi="仿宋" w:eastAsia="仿宋" w:cs="仿宋"/>
          <w:sz w:val="24"/>
        </w:rPr>
        <w:t>项目联系方式</w:t>
      </w:r>
    </w:p>
    <w:p>
      <w:pPr>
        <w:pStyle w:val="22"/>
        <w:spacing w:line="400" w:lineRule="exact"/>
        <w:ind w:firstLine="480" w:firstLineChars="200"/>
        <w:rPr>
          <w:rFonts w:ascii="仿宋" w:hAnsi="仿宋" w:eastAsia="仿宋"/>
          <w:sz w:val="24"/>
          <w:szCs w:val="24"/>
        </w:rPr>
      </w:pPr>
      <w:r>
        <w:rPr>
          <w:rFonts w:hint="eastAsia" w:ascii="仿宋" w:hAnsi="仿宋" w:eastAsia="仿宋" w:cs="仿宋"/>
          <w:sz w:val="24"/>
          <w:szCs w:val="24"/>
        </w:rPr>
        <w:t>项目联系人：张</w:t>
      </w:r>
      <w:r>
        <w:rPr>
          <w:rFonts w:hint="eastAsia" w:ascii="仿宋" w:hAnsi="仿宋" w:eastAsia="仿宋" w:cs="仿宋"/>
          <w:sz w:val="24"/>
          <w:szCs w:val="24"/>
          <w:u w:val="single"/>
        </w:rPr>
        <w:t>工</w:t>
      </w:r>
    </w:p>
    <w:p>
      <w:pPr>
        <w:spacing w:line="400" w:lineRule="exact"/>
        <w:ind w:firstLine="480" w:firstLineChars="200"/>
        <w:rPr>
          <w:rFonts w:ascii="仿宋" w:hAnsi="仿宋" w:eastAsia="仿宋"/>
          <w:sz w:val="24"/>
          <w:u w:val="single"/>
        </w:rPr>
      </w:pPr>
      <w:r>
        <w:rPr>
          <w:rFonts w:hint="eastAsia" w:ascii="仿宋" w:hAnsi="仿宋" w:eastAsia="仿宋" w:cs="仿宋"/>
          <w:sz w:val="24"/>
        </w:rPr>
        <w:t>电　话：</w:t>
      </w:r>
      <w:r>
        <w:rPr>
          <w:rFonts w:hint="eastAsia" w:ascii="仿宋" w:hAnsi="仿宋" w:eastAsia="仿宋" w:cs="仿宋"/>
          <w:sz w:val="24"/>
          <w:u w:val="single"/>
        </w:rPr>
        <w:t>0755-89354133</w:t>
      </w:r>
    </w:p>
    <w:p>
      <w:pPr>
        <w:pStyle w:val="8"/>
        <w:spacing w:before="60" w:beforeLines="25" w:after="60" w:afterLines="25"/>
        <w:ind w:firstLine="0"/>
      </w:pPr>
      <w:r>
        <w:rPr>
          <w:rFonts w:hint="eastAsia" w:ascii="宋体" w:hAnsi="宋体" w:cs="宋体"/>
          <w:b/>
          <w:bCs/>
          <w:kern w:val="0"/>
          <w:szCs w:val="21"/>
        </w:rPr>
        <w:t>八、附件</w:t>
      </w:r>
    </w:p>
    <w:p>
      <w:pPr>
        <w:pStyle w:val="8"/>
        <w:spacing w:before="60" w:beforeLines="25" w:after="60" w:afterLines="25"/>
        <w:ind w:firstLine="392" w:firstLineChars="187"/>
        <w:rPr>
          <w:rFonts w:hint="eastAsia"/>
        </w:rPr>
      </w:pPr>
      <w:r>
        <w:rPr>
          <w:rFonts w:hint="eastAsia"/>
        </w:rPr>
        <w:t>招标文件及相关配套软件</w:t>
      </w:r>
    </w:p>
    <w:p>
      <w:pPr>
        <w:pStyle w:val="8"/>
        <w:spacing w:beforeLines="25" w:afterLines="25"/>
        <w:ind w:firstLine="448" w:firstLineChars="187"/>
        <w:rPr>
          <w:rFonts w:ascii="宋体" w:hAnsi="宋体" w:cs="宋体"/>
          <w:color w:val="0031C1"/>
          <w:sz w:val="18"/>
          <w:szCs w:val="18"/>
        </w:rPr>
      </w:pPr>
      <w:r>
        <w:rPr>
          <w:rFonts w:hint="eastAsia" w:ascii="仿宋" w:hAnsi="仿宋" w:eastAsia="仿宋" w:cs="仿宋"/>
          <w:sz w:val="24"/>
          <w:szCs w:val="24"/>
        </w:rPr>
        <w:t>相关法规链接：</w:t>
      </w:r>
      <w:r>
        <w:fldChar w:fldCharType="begin"/>
      </w:r>
      <w:r>
        <w:instrText xml:space="preserve"> HYPERLINK "http://ps.szzfcg.cn/stock/fileDown.do?method=download&amp;id=2910667" \t "http://ps.szzfcg.cn/portal/attFrame" </w:instrText>
      </w:r>
      <w:r>
        <w:fldChar w:fldCharType="separate"/>
      </w:r>
      <w:r>
        <w:rPr>
          <w:rStyle w:val="49"/>
          <w:rFonts w:hint="eastAsia" w:ascii="宋体" w:hAnsi="宋体" w:cs="宋体"/>
          <w:color w:val="0031C1"/>
          <w:sz w:val="18"/>
          <w:szCs w:val="18"/>
          <w:u w:val="none"/>
        </w:rPr>
        <w:t>招标文件附件：中小企业及残疾人福利性单位相关文件</w:t>
      </w:r>
      <w:r>
        <w:rPr>
          <w:rStyle w:val="51"/>
          <w:rFonts w:hint="eastAsia" w:ascii="宋体" w:hAnsi="宋体" w:cs="宋体"/>
          <w:color w:val="0031C1"/>
          <w:sz w:val="18"/>
          <w:szCs w:val="18"/>
          <w:u w:val="none"/>
        </w:rPr>
        <w:fldChar w:fldCharType="end"/>
      </w:r>
      <w:r>
        <w:rPr>
          <w:rFonts w:hint="eastAsia" w:ascii="宋体" w:hAnsi="宋体" w:cs="宋体"/>
          <w:color w:val="0031C1"/>
          <w:sz w:val="18"/>
          <w:szCs w:val="18"/>
        </w:rPr>
        <w:t>。</w:t>
      </w:r>
    </w:p>
    <w:p>
      <w:pPr>
        <w:pStyle w:val="8"/>
        <w:spacing w:before="60" w:beforeLines="25" w:after="60" w:afterLines="25"/>
        <w:ind w:firstLine="392" w:firstLineChars="187"/>
        <w:rPr>
          <w:rFonts w:hint="eastAsia"/>
        </w:rPr>
      </w:pPr>
    </w:p>
    <w:p>
      <w:pPr>
        <w:pStyle w:val="8"/>
        <w:spacing w:before="60" w:beforeLines="25" w:after="60" w:afterLines="25"/>
        <w:ind w:firstLine="392" w:firstLineChars="187"/>
      </w:pPr>
    </w:p>
    <w:p>
      <w:pPr>
        <w:adjustRightInd w:val="0"/>
        <w:snapToGrid w:val="0"/>
        <w:ind w:firstLine="480" w:firstLineChars="200"/>
        <w:jc w:val="right"/>
        <w:rPr>
          <w:rFonts w:hint="eastAsia" w:ascii="宋体" w:hAnsi="宋体" w:cs="宋体"/>
          <w:sz w:val="24"/>
        </w:rPr>
      </w:pPr>
      <w:r>
        <w:rPr>
          <w:rFonts w:hint="eastAsia" w:ascii="宋体" w:hAnsi="宋体" w:cs="宋体"/>
          <w:sz w:val="24"/>
        </w:rPr>
        <w:t>深圳公共资源交易中心</w:t>
      </w:r>
    </w:p>
    <w:p>
      <w:pPr>
        <w:pStyle w:val="8"/>
        <w:spacing w:before="60" w:beforeLines="25" w:after="60" w:afterLines="25"/>
        <w:ind w:firstLine="448" w:firstLineChars="187"/>
        <w:jc w:val="right"/>
      </w:pPr>
      <w:r>
        <w:rPr>
          <w:rFonts w:hint="eastAsia" w:ascii="宋体" w:hAnsi="宋体" w:cs="宋体"/>
          <w:sz w:val="24"/>
        </w:rPr>
        <w:t>2021年</w:t>
      </w:r>
      <w:r>
        <w:rPr>
          <w:rFonts w:hint="eastAsia" w:ascii="宋体" w:hAnsi="宋体" w:cs="宋体"/>
          <w:sz w:val="24"/>
          <w:lang w:val="en-US" w:eastAsia="zh-CN"/>
        </w:rPr>
        <w:t xml:space="preserve">9 </w:t>
      </w:r>
      <w:r>
        <w:rPr>
          <w:rFonts w:hint="eastAsia" w:ascii="宋体" w:hAnsi="宋体" w:cs="宋体"/>
          <w:sz w:val="24"/>
        </w:rPr>
        <w:t>月</w:t>
      </w:r>
      <w:r>
        <w:rPr>
          <w:rFonts w:hint="eastAsia" w:ascii="宋体" w:hAnsi="宋体" w:cs="宋体"/>
          <w:sz w:val="24"/>
          <w:lang w:val="en-US" w:eastAsia="zh-CN"/>
        </w:rPr>
        <w:t xml:space="preserve">10 </w:t>
      </w:r>
      <w:r>
        <w:rPr>
          <w:rFonts w:hint="eastAsia" w:ascii="宋体" w:hAnsi="宋体" w:cs="宋体"/>
          <w:sz w:val="24"/>
        </w:rPr>
        <w:t>日</w:t>
      </w:r>
    </w:p>
    <w:p>
      <w:pPr>
        <w:pStyle w:val="8"/>
        <w:spacing w:before="60" w:beforeLines="25" w:after="60" w:afterLines="25"/>
        <w:ind w:firstLine="392" w:firstLineChars="187"/>
      </w:pPr>
    </w:p>
    <w:p>
      <w:pPr>
        <w:pStyle w:val="8"/>
        <w:spacing w:before="60" w:beforeLines="25" w:after="60" w:afterLines="25"/>
        <w:ind w:firstLine="392" w:firstLineChars="187"/>
      </w:pPr>
    </w:p>
    <w:p>
      <w:pPr>
        <w:pStyle w:val="8"/>
        <w:spacing w:before="60" w:beforeLines="25" w:after="60" w:afterLines="25"/>
        <w:ind w:firstLine="392" w:firstLineChars="187"/>
        <w:jc w:val="right"/>
        <w:rPr>
          <w:rFonts w:ascii="宋体" w:hAnsi="宋体"/>
          <w:szCs w:val="21"/>
        </w:rPr>
      </w:pPr>
    </w:p>
    <w:p>
      <w:pPr>
        <w:ind w:firstLine="7200" w:firstLineChars="3000"/>
        <w:rPr>
          <w:sz w:val="24"/>
        </w:rPr>
      </w:pPr>
      <w:r>
        <w:rPr>
          <w:sz w:val="24"/>
        </w:rPr>
        <w:br w:type="page"/>
      </w:r>
    </w:p>
    <w:p>
      <w:pPr>
        <w:pStyle w:val="5"/>
        <w:rPr>
          <w:sz w:val="28"/>
          <w:szCs w:val="28"/>
        </w:rPr>
      </w:pPr>
      <w:r>
        <w:rPr>
          <w:rFonts w:hint="eastAsia"/>
          <w:sz w:val="28"/>
          <w:szCs w:val="28"/>
        </w:rPr>
        <w:t xml:space="preserve">第二章 </w:t>
      </w:r>
      <w:bookmarkStart w:id="25" w:name="_Hlk71926094"/>
      <w:r>
        <w:rPr>
          <w:rFonts w:hint="eastAsia"/>
          <w:sz w:val="28"/>
          <w:szCs w:val="28"/>
        </w:rPr>
        <w:t>对通用条款的补充内容及其他关键信息</w:t>
      </w:r>
      <w:bookmarkEnd w:id="25"/>
    </w:p>
    <w:p>
      <w:pPr>
        <w:pStyle w:val="5"/>
        <w:spacing w:before="120" w:beforeLines="50" w:after="120" w:afterLines="50"/>
        <w:jc w:val="center"/>
        <w:rPr>
          <w:szCs w:val="24"/>
        </w:rPr>
      </w:pPr>
      <w:bookmarkStart w:id="26" w:name="_Toc100052364"/>
      <w:bookmarkStart w:id="27" w:name="_Toc73518117"/>
      <w:bookmarkStart w:id="28" w:name="_Toc60560625"/>
      <w:bookmarkStart w:id="29" w:name="_Toc60631620"/>
      <w:bookmarkStart w:id="30" w:name="_Toc101074876"/>
      <w:bookmarkStart w:id="31" w:name="_Toc73521635"/>
      <w:bookmarkStart w:id="32" w:name="_Toc73521547"/>
      <w:bookmarkStart w:id="33" w:name="_Toc73517639"/>
      <w:r>
        <w:rPr>
          <w:rFonts w:hint="eastAsia"/>
          <w:szCs w:val="24"/>
        </w:rPr>
        <w:t>一、对通用条款的补充内容</w:t>
      </w:r>
    </w:p>
    <w:bookmarkEnd w:id="26"/>
    <w:bookmarkEnd w:id="27"/>
    <w:bookmarkEnd w:id="28"/>
    <w:bookmarkEnd w:id="29"/>
    <w:bookmarkEnd w:id="30"/>
    <w:bookmarkEnd w:id="31"/>
    <w:bookmarkEnd w:id="32"/>
    <w:bookmarkEnd w:id="33"/>
    <w:tbl>
      <w:tblPr>
        <w:tblStyle w:val="43"/>
        <w:tblW w:w="844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87"/>
        <w:gridCol w:w="2432"/>
        <w:gridCol w:w="50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b/>
                <w:bCs/>
              </w:rPr>
            </w:pPr>
            <w:bookmarkStart w:id="34" w:name="_Hlk72218097"/>
            <w:r>
              <w:rPr>
                <w:rFonts w:hint="eastAsia" w:ascii="宋体" w:hAnsi="宋体"/>
                <w:b/>
                <w:bCs/>
              </w:rPr>
              <w:t>通用条款序号</w:t>
            </w:r>
          </w:p>
        </w:tc>
        <w:tc>
          <w:tcPr>
            <w:tcW w:w="2432" w:type="dxa"/>
            <w:vAlign w:val="center"/>
          </w:tcPr>
          <w:p>
            <w:pPr>
              <w:jc w:val="center"/>
              <w:rPr>
                <w:rFonts w:ascii="宋体" w:hAnsi="宋体"/>
                <w:b/>
                <w:bCs/>
              </w:rPr>
            </w:pPr>
            <w:r>
              <w:rPr>
                <w:rFonts w:hint="eastAsia" w:ascii="宋体" w:hAnsi="宋体"/>
                <w:b/>
                <w:bCs/>
              </w:rPr>
              <w:t>涉及事项</w:t>
            </w:r>
          </w:p>
        </w:tc>
        <w:tc>
          <w:tcPr>
            <w:tcW w:w="5029"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3</w:t>
            </w:r>
            <w:r>
              <w:rPr>
                <w:rFonts w:ascii="宋体" w:hAnsi="宋体"/>
              </w:rPr>
              <w:t>.1</w:t>
            </w:r>
          </w:p>
        </w:tc>
        <w:tc>
          <w:tcPr>
            <w:tcW w:w="2432" w:type="dxa"/>
            <w:vAlign w:val="center"/>
          </w:tcPr>
          <w:p>
            <w:pPr>
              <w:jc w:val="center"/>
            </w:pPr>
            <w:r>
              <w:rPr>
                <w:rFonts w:hint="eastAsia"/>
              </w:rPr>
              <w:t>采购人</w:t>
            </w:r>
          </w:p>
        </w:tc>
        <w:tc>
          <w:tcPr>
            <w:tcW w:w="5029" w:type="dxa"/>
            <w:vAlign w:val="center"/>
          </w:tcPr>
          <w:p>
            <w:pPr>
              <w:jc w:val="center"/>
              <w:rPr>
                <w:rFonts w:ascii="宋体" w:hAnsi="宋体"/>
              </w:rPr>
            </w:pPr>
            <w:r>
              <w:rPr>
                <w:rFonts w:hint="eastAsia" w:ascii="宋体" w:hAnsi="宋体" w:eastAsia="宋体" w:cs="Times New Roman"/>
                <w:sz w:val="21"/>
                <w:szCs w:val="24"/>
                <w:u w:val="none"/>
              </w:rPr>
              <w:fldChar w:fldCharType="begin"/>
            </w:r>
            <w:r>
              <w:rPr>
                <w:rFonts w:hint="eastAsia" w:ascii="宋体" w:hAnsi="宋体" w:eastAsia="宋体" w:cs="Times New Roman"/>
                <w:sz w:val="21"/>
                <w:szCs w:val="24"/>
                <w:u w:val="none"/>
              </w:rPr>
              <w:instrText xml:space="preserve"> HYPERLINK "http://ps.szzfcg.cn/stock/javascript:Admin.buyerView('41050366')" </w:instrText>
            </w:r>
            <w:r>
              <w:rPr>
                <w:rFonts w:hint="eastAsia" w:ascii="宋体" w:hAnsi="宋体" w:eastAsia="宋体" w:cs="Times New Roman"/>
                <w:sz w:val="21"/>
                <w:szCs w:val="24"/>
                <w:u w:val="none"/>
              </w:rPr>
              <w:fldChar w:fldCharType="separate"/>
            </w:r>
            <w:r>
              <w:rPr>
                <w:rFonts w:hint="eastAsia" w:ascii="宋体" w:hAnsi="宋体" w:eastAsia="宋体" w:cs="Times New Roman"/>
                <w:sz w:val="21"/>
                <w:szCs w:val="24"/>
                <w:u w:val="none"/>
              </w:rPr>
              <w:t>深圳市坪山区卫生健康局</w:t>
            </w:r>
            <w:r>
              <w:rPr>
                <w:rFonts w:hint="eastAsia" w:ascii="宋体" w:hAnsi="宋体" w:eastAsia="宋体" w:cs="Times New Roman"/>
                <w:sz w:val="21"/>
                <w:szCs w:val="24"/>
                <w:u w:val="none"/>
              </w:rPr>
              <w:fldChar w:fldCharType="end"/>
            </w:r>
            <w:r>
              <w:rPr>
                <w:rFonts w:hint="eastAsia" w:ascii="宋体" w:hAnsi="宋体" w:eastAsia="宋体" w:cs="Times New Roman"/>
                <w:sz w:val="21"/>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3</w:t>
            </w:r>
            <w:r>
              <w:rPr>
                <w:rFonts w:ascii="宋体" w:hAnsi="宋体"/>
              </w:rPr>
              <w:t>.2</w:t>
            </w:r>
          </w:p>
        </w:tc>
        <w:tc>
          <w:tcPr>
            <w:tcW w:w="2432" w:type="dxa"/>
            <w:vAlign w:val="center"/>
          </w:tcPr>
          <w:p>
            <w:pPr>
              <w:jc w:val="center"/>
              <w:rPr>
                <w:rFonts w:ascii="宋体" w:hAnsi="宋体"/>
              </w:rPr>
            </w:pPr>
            <w:r>
              <w:rPr>
                <w:rFonts w:hint="eastAsia" w:ascii="宋体" w:hAnsi="宋体"/>
              </w:rPr>
              <w:t>政府集中采购机构</w:t>
            </w:r>
          </w:p>
        </w:tc>
        <w:tc>
          <w:tcPr>
            <w:tcW w:w="5029" w:type="dxa"/>
            <w:vAlign w:val="center"/>
          </w:tcPr>
          <w:p>
            <w:pPr>
              <w:jc w:val="center"/>
              <w:rPr>
                <w:rFonts w:ascii="宋体" w:hAnsi="宋体"/>
              </w:rPr>
            </w:pPr>
            <w:r>
              <w:rPr>
                <w:rFonts w:hint="eastAsia" w:ascii="宋体" w:hAnsi="宋体"/>
                <w:lang w:eastAsia="zh-CN"/>
              </w:rPr>
              <w:t>深圳公共资源交易中心（深圳交易集团有限公司坪山分公司）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5</w:t>
            </w:r>
            <w:r>
              <w:rPr>
                <w:rFonts w:ascii="宋体" w:hAnsi="宋体"/>
              </w:rPr>
              <w:t>.3</w:t>
            </w:r>
          </w:p>
        </w:tc>
        <w:tc>
          <w:tcPr>
            <w:tcW w:w="2432" w:type="dxa"/>
            <w:vAlign w:val="center"/>
          </w:tcPr>
          <w:p>
            <w:pPr>
              <w:jc w:val="center"/>
              <w:rPr>
                <w:rFonts w:ascii="宋体" w:hAnsi="宋体"/>
              </w:rPr>
            </w:pPr>
            <w:r>
              <w:rPr>
                <w:rFonts w:hint="eastAsia" w:ascii="宋体" w:hAnsi="宋体"/>
              </w:rPr>
              <w:t>联合体投标</w:t>
            </w:r>
          </w:p>
        </w:tc>
        <w:tc>
          <w:tcPr>
            <w:tcW w:w="5029" w:type="dxa"/>
            <w:vAlign w:val="center"/>
          </w:tcPr>
          <w:p>
            <w:pPr>
              <w:jc w:val="center"/>
              <w:rPr>
                <w:rFonts w:hint="eastAsia" w:ascii="宋体" w:hAnsi="宋体" w:eastAsia="宋体"/>
                <w:lang w:eastAsia="zh-CN"/>
              </w:rPr>
            </w:pPr>
            <w:r>
              <w:rPr>
                <w:rFonts w:hint="eastAsia"/>
              </w:rPr>
              <w:t>招标公告</w:t>
            </w:r>
            <w:r>
              <w:rPr>
                <w:rFonts w:hint="eastAsia"/>
                <w:lang w:val="en-US" w:eastAsia="zh-CN"/>
              </w:rPr>
              <w:t>中</w:t>
            </w:r>
            <w:r>
              <w:rPr>
                <w:rFonts w:hint="eastAsia" w:ascii="宋体" w:hAnsi="宋体"/>
                <w:lang w:val="en-US" w:eastAsia="zh-CN"/>
              </w:rPr>
              <w:t>详见</w:t>
            </w:r>
            <w:r>
              <w:rPr>
                <w:rFonts w:hint="eastAsia" w:ascii="宋体" w:hAnsi="宋体" w:eastAsia="宋体" w:cs="Times New Roman"/>
                <w:b w:val="0"/>
                <w:bCs w:val="0"/>
                <w:kern w:val="2"/>
                <w:szCs w:val="24"/>
              </w:rPr>
              <w:t>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9</w:t>
            </w:r>
          </w:p>
        </w:tc>
        <w:tc>
          <w:tcPr>
            <w:tcW w:w="2432" w:type="dxa"/>
            <w:vAlign w:val="center"/>
          </w:tcPr>
          <w:p>
            <w:pPr>
              <w:jc w:val="center"/>
              <w:rPr>
                <w:rFonts w:ascii="宋体" w:hAnsi="宋体"/>
              </w:rPr>
            </w:pPr>
            <w:r>
              <w:rPr>
                <w:rFonts w:hint="eastAsia" w:ascii="宋体" w:hAnsi="宋体"/>
              </w:rPr>
              <w:t>踏勘现场</w:t>
            </w:r>
          </w:p>
        </w:tc>
        <w:tc>
          <w:tcPr>
            <w:tcW w:w="5029" w:type="dxa"/>
            <w:vAlign w:val="center"/>
          </w:tcPr>
          <w:p>
            <w:pPr>
              <w:jc w:val="center"/>
              <w:rPr>
                <w:rFonts w:ascii="宋体" w:hAnsi="宋体"/>
              </w:rPr>
            </w:pPr>
            <w:r>
              <w:rPr>
                <w:rFonts w:hint="eastAsia" w:ascii="宋体" w:hAnsi="宋体" w:eastAsia="宋体" w:cs="Times New Roman"/>
                <w:sz w:val="21"/>
                <w:szCs w:val="24"/>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1</w:t>
            </w:r>
            <w:r>
              <w:rPr>
                <w:rFonts w:ascii="宋体" w:hAnsi="宋体"/>
              </w:rPr>
              <w:t>0</w:t>
            </w:r>
          </w:p>
        </w:tc>
        <w:tc>
          <w:tcPr>
            <w:tcW w:w="2432" w:type="dxa"/>
            <w:vAlign w:val="center"/>
          </w:tcPr>
          <w:p>
            <w:pPr>
              <w:jc w:val="center"/>
              <w:rPr>
                <w:rFonts w:ascii="宋体" w:hAnsi="宋体"/>
              </w:rPr>
            </w:pPr>
            <w:r>
              <w:rPr>
                <w:rFonts w:hint="eastAsia" w:ascii="宋体" w:hAnsi="宋体"/>
              </w:rPr>
              <w:t>标前会议</w:t>
            </w:r>
          </w:p>
        </w:tc>
        <w:tc>
          <w:tcPr>
            <w:tcW w:w="5029" w:type="dxa"/>
            <w:vAlign w:val="center"/>
          </w:tcPr>
          <w:p>
            <w:pPr>
              <w:jc w:val="center"/>
              <w:rPr>
                <w:rFonts w:ascii="宋体" w:hAnsi="宋体"/>
              </w:rPr>
            </w:pPr>
            <w:r>
              <w:rPr>
                <w:rFonts w:hint="eastAsia" w:ascii="宋体" w:hAnsi="宋体" w:eastAsia="宋体" w:cs="Times New Roman"/>
                <w:sz w:val="21"/>
                <w:szCs w:val="24"/>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2432" w:type="dxa"/>
            <w:vAlign w:val="center"/>
          </w:tcPr>
          <w:p>
            <w:pPr>
              <w:jc w:val="center"/>
              <w:rPr>
                <w:rFonts w:ascii="宋体" w:hAnsi="宋体"/>
              </w:rPr>
            </w:pPr>
            <w:r>
              <w:rPr>
                <w:rFonts w:hint="eastAsia" w:ascii="宋体" w:hAnsi="宋体"/>
              </w:rPr>
              <w:t>招标文件的澄清和修改</w:t>
            </w:r>
          </w:p>
        </w:tc>
        <w:tc>
          <w:tcPr>
            <w:tcW w:w="5029" w:type="dxa"/>
            <w:vAlign w:val="center"/>
          </w:tcPr>
          <w:p>
            <w:pPr>
              <w:jc w:val="center"/>
              <w:rPr>
                <w:rFonts w:ascii="宋体" w:hAnsi="宋体"/>
              </w:rPr>
            </w:pPr>
            <w:r>
              <w:rPr>
                <w:rFonts w:hint="eastAsia" w:ascii="宋体" w:hAnsi="宋体"/>
              </w:rPr>
              <w:t>不晚于投标截止日三日前，投标人有义务在招标期间在政府集中采购机构网站浏览与本项目有关的澄清和修改信息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2</w:t>
            </w:r>
            <w:r>
              <w:rPr>
                <w:rFonts w:ascii="宋体" w:hAnsi="宋体"/>
              </w:rPr>
              <w:t>0</w:t>
            </w:r>
          </w:p>
        </w:tc>
        <w:tc>
          <w:tcPr>
            <w:tcW w:w="2432" w:type="dxa"/>
            <w:vAlign w:val="center"/>
          </w:tcPr>
          <w:p>
            <w:pPr>
              <w:jc w:val="center"/>
              <w:rPr>
                <w:rFonts w:ascii="宋体" w:hAnsi="宋体"/>
              </w:rPr>
            </w:pPr>
            <w:r>
              <w:rPr>
                <w:rFonts w:hint="eastAsia" w:ascii="宋体" w:hAnsi="宋体"/>
              </w:rPr>
              <w:t>投标有效期</w:t>
            </w:r>
          </w:p>
        </w:tc>
        <w:tc>
          <w:tcPr>
            <w:tcW w:w="5029" w:type="dxa"/>
            <w:vAlign w:val="center"/>
          </w:tcPr>
          <w:p>
            <w:pPr>
              <w:jc w:val="center"/>
              <w:rPr>
                <w:rFonts w:ascii="宋体" w:hAnsi="宋体"/>
              </w:rPr>
            </w:pPr>
            <w:r>
              <w:rPr>
                <w:rFonts w:hint="eastAsia" w:ascii="宋体" w:hAnsi="宋体"/>
              </w:rPr>
              <w:t>120个日历日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2</w:t>
            </w:r>
            <w:r>
              <w:rPr>
                <w:rFonts w:ascii="宋体" w:hAnsi="宋体"/>
              </w:rPr>
              <w:t>2</w:t>
            </w:r>
          </w:p>
        </w:tc>
        <w:tc>
          <w:tcPr>
            <w:tcW w:w="2432" w:type="dxa"/>
            <w:vAlign w:val="center"/>
          </w:tcPr>
          <w:p>
            <w:pPr>
              <w:jc w:val="center"/>
              <w:rPr>
                <w:rFonts w:ascii="宋体" w:hAnsi="宋体"/>
              </w:rPr>
            </w:pPr>
            <w:r>
              <w:rPr>
                <w:rFonts w:hint="eastAsia" w:ascii="宋体" w:hAnsi="宋体"/>
              </w:rPr>
              <w:t>投标人的替代方案</w:t>
            </w:r>
          </w:p>
        </w:tc>
        <w:tc>
          <w:tcPr>
            <w:tcW w:w="5029" w:type="dxa"/>
            <w:vAlign w:val="center"/>
          </w:tcPr>
          <w:p>
            <w:pPr>
              <w:jc w:val="center"/>
              <w:rPr>
                <w:rFonts w:ascii="宋体" w:hAnsi="宋体"/>
              </w:rPr>
            </w:pPr>
            <w:r>
              <w:rPr>
                <w:rFonts w:hint="eastAsia" w:ascii="宋体" w:hAnsi="宋体"/>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2</w:t>
            </w:r>
            <w:r>
              <w:rPr>
                <w:rFonts w:ascii="宋体" w:hAnsi="宋体"/>
              </w:rPr>
              <w:t>5</w:t>
            </w:r>
          </w:p>
        </w:tc>
        <w:tc>
          <w:tcPr>
            <w:tcW w:w="2432" w:type="dxa"/>
            <w:vAlign w:val="center"/>
          </w:tcPr>
          <w:p>
            <w:pPr>
              <w:jc w:val="center"/>
              <w:rPr>
                <w:rFonts w:ascii="宋体" w:hAnsi="宋体"/>
              </w:rPr>
            </w:pPr>
            <w:r>
              <w:rPr>
                <w:rFonts w:hint="eastAsia" w:ascii="宋体" w:hAnsi="宋体"/>
              </w:rPr>
              <w:t>投标文件的大小</w:t>
            </w:r>
          </w:p>
        </w:tc>
        <w:tc>
          <w:tcPr>
            <w:tcW w:w="5029" w:type="dxa"/>
            <w:vAlign w:val="center"/>
          </w:tcPr>
          <w:p>
            <w:pPr>
              <w:jc w:val="center"/>
              <w:rPr>
                <w:rFonts w:ascii="宋体" w:hAnsi="宋体"/>
              </w:rPr>
            </w:pPr>
            <w:r>
              <w:rPr>
                <w:rFonts w:hint="eastAsia" w:ascii="宋体" w:hAnsi="宋体"/>
              </w:rPr>
              <w:t>投标文件大小不得超过</w:t>
            </w:r>
            <w:r>
              <w:rPr>
                <w:rFonts w:hint="eastAsia" w:ascii="宋体" w:hAnsi="宋体"/>
                <w:lang w:val="en-US" w:eastAsia="zh-CN"/>
              </w:rPr>
              <w:t>1</w:t>
            </w:r>
            <w:r>
              <w:rPr>
                <w:rFonts w:hint="eastAsia" w:ascii="宋体" w:hAnsi="宋体"/>
              </w:rPr>
              <w:t>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2</w:t>
            </w:r>
            <w:r>
              <w:rPr>
                <w:rFonts w:ascii="宋体" w:hAnsi="宋体"/>
              </w:rPr>
              <w:t>6</w:t>
            </w:r>
          </w:p>
        </w:tc>
        <w:tc>
          <w:tcPr>
            <w:tcW w:w="2432" w:type="dxa"/>
            <w:vAlign w:val="center"/>
          </w:tcPr>
          <w:p>
            <w:pPr>
              <w:jc w:val="center"/>
              <w:rPr>
                <w:rFonts w:ascii="宋体" w:hAnsi="宋体"/>
              </w:rPr>
            </w:pPr>
            <w:r>
              <w:rPr>
                <w:rFonts w:hint="eastAsia" w:ascii="宋体" w:hAnsi="宋体"/>
              </w:rPr>
              <w:t>样品、现场演示、方案讲解</w:t>
            </w:r>
          </w:p>
        </w:tc>
        <w:tc>
          <w:tcPr>
            <w:tcW w:w="5029" w:type="dxa"/>
            <w:vAlign w:val="center"/>
          </w:tcPr>
          <w:p>
            <w:pPr>
              <w:jc w:val="center"/>
              <w:rPr>
                <w:rFonts w:ascii="宋体" w:hAnsi="宋体"/>
              </w:rPr>
            </w:pPr>
            <w:r>
              <w:rPr>
                <w:rFonts w:hint="eastAsia" w:ascii="宋体" w:hAnsi="宋体" w:eastAsia="宋体" w:cs="Times New Roman"/>
                <w:sz w:val="21"/>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3</w:t>
            </w:r>
            <w:r>
              <w:rPr>
                <w:rFonts w:ascii="宋体" w:hAnsi="宋体"/>
              </w:rPr>
              <w:t>7</w:t>
            </w:r>
          </w:p>
        </w:tc>
        <w:tc>
          <w:tcPr>
            <w:tcW w:w="2432" w:type="dxa"/>
            <w:vAlign w:val="center"/>
          </w:tcPr>
          <w:p>
            <w:pPr>
              <w:jc w:val="center"/>
              <w:rPr>
                <w:rFonts w:ascii="宋体" w:hAnsi="宋体"/>
              </w:rPr>
            </w:pPr>
            <w:r>
              <w:rPr>
                <w:rFonts w:hint="eastAsia" w:ascii="宋体" w:hAnsi="宋体"/>
              </w:rPr>
              <w:t>评审方法</w:t>
            </w:r>
          </w:p>
        </w:tc>
        <w:tc>
          <w:tcPr>
            <w:tcW w:w="5029" w:type="dxa"/>
            <w:vAlign w:val="center"/>
          </w:tcPr>
          <w:p>
            <w:pPr>
              <w:jc w:val="center"/>
              <w:rPr>
                <w:rFonts w:ascii="宋体" w:hAnsi="宋体"/>
              </w:rPr>
            </w:pPr>
            <w:r>
              <w:rPr>
                <w:rFonts w:hint="eastAsia" w:ascii="宋体" w:hAnsi="宋体"/>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3</w:t>
            </w:r>
            <w:r>
              <w:rPr>
                <w:rFonts w:ascii="宋体" w:hAnsi="宋体"/>
              </w:rPr>
              <w:t>8</w:t>
            </w:r>
          </w:p>
        </w:tc>
        <w:tc>
          <w:tcPr>
            <w:tcW w:w="2432" w:type="dxa"/>
            <w:vAlign w:val="center"/>
          </w:tcPr>
          <w:p>
            <w:pPr>
              <w:jc w:val="center"/>
              <w:rPr>
                <w:rFonts w:ascii="宋体" w:hAnsi="宋体"/>
              </w:rPr>
            </w:pPr>
            <w:r>
              <w:rPr>
                <w:rFonts w:hint="eastAsia" w:ascii="宋体" w:hAnsi="宋体"/>
              </w:rPr>
              <w:t>定标方法</w:t>
            </w:r>
          </w:p>
        </w:tc>
        <w:tc>
          <w:tcPr>
            <w:tcW w:w="5029" w:type="dxa"/>
            <w:vAlign w:val="center"/>
          </w:tcPr>
          <w:p>
            <w:pPr>
              <w:jc w:val="center"/>
              <w:rPr>
                <w:rFonts w:hint="eastAsia" w:ascii="宋体" w:hAnsi="宋体" w:eastAsia="宋体"/>
                <w:lang w:val="en-US" w:eastAsia="zh-CN"/>
              </w:rPr>
            </w:pPr>
            <w:r>
              <w:rPr>
                <w:rFonts w:hint="eastAsia" w:ascii="宋体" w:hAnsi="宋体"/>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87" w:type="dxa"/>
            <w:vAlign w:val="center"/>
          </w:tcPr>
          <w:p>
            <w:pPr>
              <w:jc w:val="center"/>
              <w:rPr>
                <w:rFonts w:ascii="宋体" w:hAnsi="宋体"/>
              </w:rPr>
            </w:pPr>
            <w:r>
              <w:rPr>
                <w:rFonts w:hint="eastAsia" w:ascii="宋体" w:hAnsi="宋体"/>
              </w:rPr>
              <w:t>4</w:t>
            </w:r>
            <w:r>
              <w:rPr>
                <w:rFonts w:ascii="宋体" w:hAnsi="宋体"/>
              </w:rPr>
              <w:t>6</w:t>
            </w:r>
          </w:p>
        </w:tc>
        <w:tc>
          <w:tcPr>
            <w:tcW w:w="2432" w:type="dxa"/>
            <w:vAlign w:val="center"/>
          </w:tcPr>
          <w:p>
            <w:pPr>
              <w:jc w:val="center"/>
              <w:rPr>
                <w:rFonts w:hint="eastAsia" w:ascii="宋体" w:hAnsi="宋体" w:eastAsia="宋体" w:cs="Times New Roman"/>
              </w:rPr>
            </w:pPr>
            <w:r>
              <w:rPr>
                <w:rFonts w:hint="eastAsia" w:ascii="宋体" w:hAnsi="宋体" w:eastAsia="宋体" w:cs="Times New Roman"/>
              </w:rPr>
              <w:t>履约担保</w:t>
            </w:r>
          </w:p>
        </w:tc>
        <w:tc>
          <w:tcPr>
            <w:tcW w:w="5029" w:type="dxa"/>
            <w:vAlign w:val="center"/>
          </w:tcPr>
          <w:p>
            <w:pPr>
              <w:jc w:val="center"/>
              <w:rPr>
                <w:rFonts w:hint="eastAsia" w:ascii="宋体" w:hAnsi="宋体" w:eastAsia="宋体" w:cs="Times New Roman"/>
              </w:rPr>
            </w:pPr>
            <w:r>
              <w:rPr>
                <w:rFonts w:hint="eastAsia" w:ascii="宋体" w:hAnsi="宋体" w:eastAsia="宋体" w:cs="Times New Roman"/>
                <w:sz w:val="21"/>
                <w:szCs w:val="24"/>
              </w:rPr>
              <w:t>不需要</w:t>
            </w:r>
          </w:p>
        </w:tc>
      </w:tr>
    </w:tbl>
    <w:p>
      <w:pPr>
        <w:rPr>
          <w:b/>
        </w:rPr>
      </w:pPr>
      <w:r>
        <w:rPr>
          <w:rFonts w:hint="eastAsia"/>
          <w:szCs w:val="21"/>
        </w:rPr>
        <w:t>备注：本表是通用条款相关条款的补充和明确，如与通用条款内容相冲突的，以本表为准。</w:t>
      </w:r>
    </w:p>
    <w:bookmarkEnd w:id="34"/>
    <w:p>
      <w:pPr>
        <w:pStyle w:val="5"/>
        <w:spacing w:before="120" w:beforeLines="50" w:after="120" w:afterLines="50"/>
        <w:rPr>
          <w:szCs w:val="24"/>
        </w:rPr>
      </w:pPr>
      <w:bookmarkStart w:id="35" w:name="_Hlk72218117"/>
      <w:r>
        <w:rPr>
          <w:rFonts w:hint="eastAsia"/>
          <w:szCs w:val="24"/>
        </w:rPr>
        <w:t>二、其他关键信息</w:t>
      </w:r>
    </w:p>
    <w:p>
      <w:pPr>
        <w:ind w:firstLine="422" w:firstLineChars="200"/>
        <w:rPr>
          <w:b/>
          <w:bCs/>
        </w:rPr>
      </w:pPr>
      <w:bookmarkStart w:id="36" w:name="_Hlk72579427"/>
      <w:r>
        <w:rPr>
          <w:rFonts w:hint="eastAsia"/>
          <w:b/>
          <w:bCs/>
        </w:rPr>
        <w:t>（一）与“对通用条款的补充内容”章节相关的事项</w:t>
      </w:r>
    </w:p>
    <w:p>
      <w:pPr>
        <w:pStyle w:val="74"/>
        <w:numPr>
          <w:ilvl w:val="-1"/>
          <w:numId w:val="0"/>
        </w:numPr>
        <w:ind w:left="3360" w:firstLine="0" w:firstLineChars="0"/>
        <w:rPr>
          <w:b/>
        </w:rPr>
      </w:pPr>
      <w:r>
        <w:rPr>
          <w:rFonts w:hint="eastAsia"/>
          <w:b/>
          <w:lang w:val="en-US" w:eastAsia="zh-CN"/>
        </w:rPr>
        <w:t>中标供应商数量</w:t>
      </w:r>
      <w:r>
        <w:rPr>
          <w:rFonts w:hint="eastAsia"/>
          <w:b/>
        </w:rPr>
        <w:t>信息</w:t>
      </w:r>
    </w:p>
    <w:tbl>
      <w:tblPr>
        <w:tblStyle w:val="4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4" w:type="dxa"/>
            <w:vAlign w:val="center"/>
          </w:tcPr>
          <w:p>
            <w:pPr>
              <w:keepNext w:val="0"/>
              <w:keepLines w:val="0"/>
              <w:suppressLineNumbers w:val="0"/>
              <w:spacing w:before="0" w:beforeAutospacing="0" w:after="0" w:afterAutospacing="0"/>
              <w:ind w:left="0" w:leftChars="0" w:right="0" w:rightChars="0"/>
              <w:jc w:val="center"/>
              <w:rPr>
                <w:rFonts w:hint="eastAsia"/>
              </w:rPr>
            </w:pPr>
            <w:r>
              <w:rPr>
                <w:rFonts w:hint="eastAsia"/>
                <w:b/>
                <w:bCs/>
                <w:lang w:eastAsia="zh-CN"/>
              </w:rPr>
              <w:t>中标供应商数量</w:t>
            </w:r>
          </w:p>
        </w:tc>
        <w:tc>
          <w:tcPr>
            <w:tcW w:w="4265" w:type="dxa"/>
            <w:vAlign w:val="center"/>
          </w:tcPr>
          <w:p>
            <w:pPr>
              <w:keepNext w:val="0"/>
              <w:keepLines w:val="0"/>
              <w:suppressLineNumbers w:val="0"/>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keepNext w:val="0"/>
              <w:keepLines w:val="0"/>
              <w:suppressLineNumbers w:val="0"/>
              <w:spacing w:before="0" w:beforeAutospacing="0" w:after="0" w:afterAutospacing="0"/>
              <w:ind w:left="0" w:leftChars="0" w:right="0" w:rightChars="0"/>
              <w:jc w:val="center"/>
              <w:rPr>
                <w:rFonts w:hint="eastAsia"/>
              </w:rPr>
            </w:pPr>
            <w:r>
              <w:rPr>
                <w:rFonts w:hint="eastAsia" w:ascii="宋体" w:hAnsi="宋体"/>
                <w:b/>
                <w:lang w:eastAsia="zh-CN"/>
              </w:rPr>
              <w:t>候选中标供应商数量</w:t>
            </w:r>
          </w:p>
        </w:tc>
        <w:tc>
          <w:tcPr>
            <w:tcW w:w="4265" w:type="dxa"/>
            <w:vAlign w:val="center"/>
          </w:tcPr>
          <w:p>
            <w:pPr>
              <w:keepNext w:val="0"/>
              <w:keepLines w:val="0"/>
              <w:suppressLineNumbers w:val="0"/>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2</w:t>
            </w:r>
          </w:p>
        </w:tc>
      </w:tr>
    </w:tbl>
    <w:p>
      <w:pPr>
        <w:pStyle w:val="74"/>
        <w:ind w:left="3823" w:firstLine="0" w:firstLineChars="0"/>
        <w:rPr>
          <w:b/>
        </w:rPr>
      </w:pPr>
    </w:p>
    <w:p>
      <w:pPr>
        <w:ind w:firstLine="422" w:firstLineChars="200"/>
        <w:rPr>
          <w:b/>
        </w:rPr>
      </w:pPr>
      <w:r>
        <w:rPr>
          <w:rFonts w:hint="eastAsia"/>
          <w:b/>
        </w:rPr>
        <w:t>（二）其他事项</w:t>
      </w:r>
      <w:bookmarkEnd w:id="36"/>
    </w:p>
    <w:p>
      <w:pPr>
        <w:ind w:firstLine="422" w:firstLineChars="200"/>
        <w:rPr>
          <w:b/>
          <w:bCs/>
        </w:rPr>
      </w:pPr>
      <w:r>
        <w:rPr>
          <w:b/>
          <w:bCs/>
        </w:rPr>
        <w:t>1</w:t>
      </w:r>
      <w:r>
        <w:rPr>
          <w:rFonts w:hint="eastAsia"/>
          <w:b/>
          <w:bCs/>
        </w:rPr>
        <w:t>、关于享受优惠政策的主体及价格扣除比例</w:t>
      </w:r>
    </w:p>
    <w:p>
      <w:pPr>
        <w:ind w:firstLine="420" w:firstLineChars="200"/>
      </w:pPr>
      <w:r>
        <w:rPr>
          <w:rFonts w:hint="eastAsia"/>
        </w:rPr>
        <w:t>（1）投标人提供的货物（以招标文件用户需求书“货物清单明细”的“货物名称”一栏为准）全部均由优惠主体制造，则对其投标总价给予</w:t>
      </w:r>
      <w:r>
        <w:rPr>
          <w:color w:val="FF0000"/>
          <w:u w:val="single"/>
        </w:rPr>
        <w:t xml:space="preserve">    </w:t>
      </w:r>
      <w:r>
        <w:rPr>
          <w:rFonts w:hint="eastAsia"/>
          <w:color w:val="FF0000"/>
          <w:u w:val="single"/>
          <w:lang w:val="en-US" w:eastAsia="zh-CN"/>
        </w:rPr>
        <w:t>6</w:t>
      </w:r>
      <w:r>
        <w:rPr>
          <w:color w:val="FF0000"/>
          <w:u w:val="single"/>
        </w:rPr>
        <w:t>%</w:t>
      </w:r>
      <w:r>
        <w:rPr>
          <w:rFonts w:hint="eastAsia"/>
        </w:rPr>
        <w:t>的扣除，用扣除后的价格参与评审。满足多项优惠政策的企业，不重复享受多项价格扣除政策。</w:t>
      </w:r>
    </w:p>
    <w:p>
      <w:pPr>
        <w:ind w:firstLine="420" w:firstLineChars="200"/>
      </w:pPr>
      <w:r>
        <w:rPr>
          <w:rFonts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t>b)</w:t>
      </w:r>
      <w:r>
        <w:rPr>
          <w:rFonts w:hint="eastAsia"/>
        </w:rPr>
        <w:t>优惠主体制造是指货物由优惠主体生产且使用该优惠主体商号或者注册商标；投标人提供的货物既有优惠主体制造货物，又有非优惠主体制造货物的，不给予价格扣除。</w:t>
      </w:r>
    </w:p>
    <w:p>
      <w:pPr>
        <w:ind w:firstLine="420" w:firstLineChars="200"/>
      </w:pPr>
      <w:r>
        <w:rPr>
          <w:rFonts w:hint="eastAsia"/>
        </w:rPr>
        <w:t>（2）根据</w:t>
      </w:r>
      <w:r>
        <w:rPr>
          <w:rFonts w:hint="eastAsia"/>
          <w:szCs w:val="22"/>
        </w:rPr>
        <w:t>《工业和信息化部、国家统计局、国家发展和改革委员会、财政部关于印发中小企业划型标准规定的通知》（工信部联企业〔2011〕300 号）</w:t>
      </w:r>
      <w:r>
        <w:rPr>
          <w:rFonts w:hint="eastAsia"/>
        </w:rPr>
        <w:t>，</w:t>
      </w:r>
      <w:bookmarkStart w:id="37" w:name="_Hlk71970739"/>
      <w:r>
        <w:rPr>
          <w:rFonts w:hint="eastAsia"/>
        </w:rPr>
        <w:t>本项目</w:t>
      </w:r>
      <w:bookmarkStart w:id="38" w:name="_Hlk71924718"/>
      <w:r>
        <w:rPr>
          <w:rFonts w:hint="eastAsia"/>
        </w:rPr>
        <w:t>采购标的（货物）对应的中小企业划分标准所属行业</w:t>
      </w:r>
      <w:bookmarkEnd w:id="38"/>
      <w:r>
        <w:rPr>
          <w:rFonts w:hint="eastAsia"/>
        </w:rPr>
        <w:t>为</w:t>
      </w:r>
      <w:r>
        <w:rPr>
          <w:color w:val="FF0000"/>
          <w:u w:val="single"/>
        </w:rPr>
        <w:t xml:space="preserve">  </w:t>
      </w:r>
      <w:r>
        <w:rPr>
          <w:rFonts w:hint="eastAsia"/>
          <w:color w:val="FF0000"/>
          <w:u w:val="single"/>
          <w:lang w:val="en-US" w:eastAsia="zh-CN"/>
        </w:rPr>
        <w:t>工</w:t>
      </w:r>
      <w:r>
        <w:rPr>
          <w:color w:val="FF0000"/>
          <w:u w:val="single"/>
        </w:rPr>
        <w:t xml:space="preserve">  </w:t>
      </w:r>
      <w:r>
        <w:rPr>
          <w:rFonts w:hint="eastAsia"/>
        </w:rPr>
        <w:t>业。</w:t>
      </w:r>
      <w:bookmarkEnd w:id="37"/>
    </w:p>
    <w:p>
      <w:pPr>
        <w:ind w:firstLine="420" w:firstLineChars="200"/>
      </w:pPr>
      <w:r>
        <w:rPr>
          <w:rFonts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四章  投标文件组成要求及格式/投标文件正文（信息公开部分）/三、投标人情况及资格证明文件章节提供的格式）。</w:t>
      </w:r>
    </w:p>
    <w:p>
      <w:pPr>
        <w:ind w:firstLine="420" w:firstLineChars="200"/>
        <w:rPr>
          <w:rFonts w:ascii="仿宋" w:hAnsi="仿宋" w:eastAsia="仿宋"/>
          <w:sz w:val="28"/>
          <w:szCs w:val="28"/>
        </w:rPr>
      </w:pPr>
      <w:r>
        <w:rPr>
          <w:rFonts w:hint="eastAsia"/>
        </w:rPr>
        <w:t>（4）享受价格扣除获得政府采购合同的，小微企业不得将合同分包给大中型企业。</w:t>
      </w:r>
    </w:p>
    <w:p>
      <w:pPr>
        <w:ind w:firstLine="420" w:firstLineChars="200"/>
        <w:rPr>
          <w:rFonts w:hint="eastAsia"/>
          <w:b w:val="0"/>
        </w:rPr>
      </w:pPr>
      <w:r>
        <w:rPr>
          <w:rFonts w:hint="eastAsia" w:ascii="Times New Roman" w:hAnsi="Times New Roman" w:eastAsia="宋体" w:cs="Times New Roman"/>
          <w:sz w:val="21"/>
          <w:szCs w:val="24"/>
          <w:lang w:eastAsia="zh-CN"/>
        </w:rPr>
        <w:t>（</w:t>
      </w:r>
      <w:r>
        <w:rPr>
          <w:rFonts w:hint="eastAsia" w:ascii="Times New Roman" w:hAnsi="Times New Roman" w:eastAsia="宋体" w:cs="Times New Roman"/>
          <w:sz w:val="21"/>
          <w:szCs w:val="24"/>
          <w:lang w:val="en-US" w:eastAsia="zh-CN"/>
        </w:rPr>
        <w:t>5</w:t>
      </w:r>
      <w:r>
        <w:rPr>
          <w:rFonts w:hint="eastAsia" w:ascii="Times New Roman" w:hAnsi="Times New Roman" w:eastAsia="宋体" w:cs="Times New Roman"/>
          <w:sz w:val="21"/>
          <w:szCs w:val="24"/>
          <w:lang w:eastAsia="zh-CN"/>
        </w:rPr>
        <w:t>）</w:t>
      </w:r>
      <w:r>
        <w:rPr>
          <w:rFonts w:hint="eastAsia" w:ascii="Times New Roman" w:hAnsi="Times New Roman" w:eastAsia="宋体" w:cs="Times New Roman"/>
          <w:sz w:val="21"/>
          <w:szCs w:val="24"/>
        </w:rPr>
        <w:t>采用综合评分法的项目，涉及《财政部 生态环境部关于印发环境标志产品政府采购清单的通知》（财库〔2019〕18号）和《财政部 生态环境部关于印发节能产品政府采购品目清单的通知》（财库〔2019〕19号）中明确的优先采购（不含强制采购）产品时，应当通过对具备相关证书的产品进行加分（采用综合评分法时），实现优先采购。相关证书是指国家确定的认证机构出具的、处于有效期之内的节能产品、环境标志产品认证证书</w:t>
      </w:r>
      <w:r>
        <w:rPr>
          <w:rFonts w:hint="eastAsia" w:cs="Times New Roman"/>
          <w:sz w:val="21"/>
          <w:szCs w:val="24"/>
          <w:lang w:eastAsia="zh-CN"/>
        </w:rPr>
        <w:t>。</w:t>
      </w:r>
    </w:p>
    <w:p>
      <w:pPr>
        <w:rPr>
          <w:b/>
        </w:rPr>
      </w:pPr>
    </w:p>
    <w:bookmarkEnd w:id="35"/>
    <w:p>
      <w:pPr>
        <w:pStyle w:val="5"/>
        <w:rPr>
          <w:sz w:val="28"/>
          <w:szCs w:val="28"/>
        </w:rPr>
      </w:pPr>
      <w:r>
        <w:rPr>
          <w:rFonts w:hint="eastAsia"/>
          <w:sz w:val="28"/>
          <w:szCs w:val="28"/>
        </w:rPr>
        <w:t>第三章 用户需求书</w:t>
      </w:r>
    </w:p>
    <w:p>
      <w:pPr>
        <w:pStyle w:val="5"/>
        <w:outlineLvl w:val="1"/>
        <w:rPr>
          <w:szCs w:val="24"/>
        </w:rPr>
      </w:pPr>
      <w:r>
        <w:rPr>
          <w:rFonts w:hint="eastAsia"/>
          <w:szCs w:val="24"/>
        </w:rPr>
        <w:t xml:space="preserve"> </w:t>
      </w:r>
      <w:r>
        <w:rPr>
          <w:szCs w:val="24"/>
        </w:rPr>
        <w:t xml:space="preserve"> </w:t>
      </w:r>
      <w:r>
        <w:rPr>
          <w:rFonts w:hint="eastAsia"/>
          <w:szCs w:val="24"/>
        </w:rPr>
        <w:t>一、项目基本信息</w:t>
      </w:r>
    </w:p>
    <w:p>
      <w:pPr>
        <w:rPr>
          <w:rFonts w:ascii="宋体" w:hAnsi="宋体"/>
          <w:b/>
          <w:color w:val="FF0000"/>
          <w:szCs w:val="21"/>
        </w:rPr>
      </w:pPr>
    </w:p>
    <w:tbl>
      <w:tblPr>
        <w:tblStyle w:val="43"/>
        <w:tblpPr w:leftFromText="180" w:rightFromText="180" w:vertAnchor="text" w:horzAnchor="margin" w:tblpY="173"/>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688"/>
        <w:gridCol w:w="326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6" w:type="dxa"/>
            <w:vAlign w:val="center"/>
          </w:tcPr>
          <w:p>
            <w:pPr>
              <w:jc w:val="center"/>
              <w:rPr>
                <w:bCs/>
                <w:szCs w:val="21"/>
              </w:rPr>
            </w:pPr>
            <w:r>
              <w:rPr>
                <w:rFonts w:hint="eastAsia"/>
                <w:bCs/>
                <w:szCs w:val="21"/>
              </w:rPr>
              <w:t>序号</w:t>
            </w:r>
          </w:p>
        </w:tc>
        <w:tc>
          <w:tcPr>
            <w:tcW w:w="2688" w:type="dxa"/>
            <w:vAlign w:val="center"/>
          </w:tcPr>
          <w:p>
            <w:pPr>
              <w:jc w:val="center"/>
              <w:rPr>
                <w:bCs/>
                <w:szCs w:val="21"/>
              </w:rPr>
            </w:pPr>
            <w:r>
              <w:rPr>
                <w:rFonts w:hint="eastAsia"/>
                <w:szCs w:val="21"/>
              </w:rPr>
              <w:t>采购计划编号</w:t>
            </w:r>
          </w:p>
        </w:tc>
        <w:tc>
          <w:tcPr>
            <w:tcW w:w="3260" w:type="dxa"/>
            <w:vAlign w:val="center"/>
          </w:tcPr>
          <w:p>
            <w:pPr>
              <w:jc w:val="center"/>
              <w:rPr>
                <w:bCs/>
                <w:szCs w:val="21"/>
              </w:rPr>
            </w:pPr>
            <w:r>
              <w:rPr>
                <w:rFonts w:hint="eastAsia"/>
                <w:bCs/>
                <w:szCs w:val="21"/>
              </w:rPr>
              <w:t>采购项目名称</w:t>
            </w:r>
          </w:p>
        </w:tc>
        <w:tc>
          <w:tcPr>
            <w:tcW w:w="2432" w:type="dxa"/>
            <w:vAlign w:val="center"/>
          </w:tcPr>
          <w:p>
            <w:pPr>
              <w:jc w:val="center"/>
              <w:rPr>
                <w:b/>
                <w:bCs/>
                <w:color w:val="FF0000"/>
                <w:szCs w:val="21"/>
              </w:rPr>
            </w:pPr>
            <w:r>
              <w:rPr>
                <w:rFonts w:hint="eastAsia"/>
                <w:b/>
                <w:bCs/>
                <w:color w:val="FF000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6" w:type="dxa"/>
            <w:vAlign w:val="center"/>
          </w:tcPr>
          <w:p>
            <w:pPr>
              <w:jc w:val="center"/>
              <w:rPr>
                <w:rFonts w:hint="eastAsia" w:ascii="Times New Roman" w:hAnsi="Times New Roman" w:eastAsia="宋体" w:cs="Times New Roman"/>
                <w:bCs/>
                <w:color w:val="FF0000"/>
                <w:kern w:val="2"/>
                <w:sz w:val="21"/>
                <w:szCs w:val="21"/>
                <w:lang w:val="en-US" w:eastAsia="zh-CN" w:bidi="ar-SA"/>
              </w:rPr>
            </w:pPr>
            <w:r>
              <w:rPr>
                <w:rFonts w:hint="eastAsia"/>
                <w:bCs/>
                <w:color w:val="FF0000"/>
                <w:szCs w:val="21"/>
              </w:rPr>
              <w:t>1</w:t>
            </w:r>
          </w:p>
        </w:tc>
        <w:tc>
          <w:tcPr>
            <w:tcW w:w="2688" w:type="dxa"/>
            <w:vAlign w:val="center"/>
          </w:tcPr>
          <w:p>
            <w:pPr>
              <w:jc w:val="center"/>
              <w:rPr>
                <w:rFonts w:hint="eastAsia" w:ascii="Times New Roman" w:hAnsi="Times New Roman" w:eastAsia="宋体" w:cs="Times New Roman"/>
                <w:bCs/>
                <w:color w:val="FF0000"/>
                <w:kern w:val="2"/>
                <w:sz w:val="21"/>
                <w:szCs w:val="21"/>
                <w:lang w:val="en-US" w:eastAsia="zh-CN" w:bidi="ar-SA"/>
              </w:rPr>
            </w:pPr>
            <w:r>
              <w:rPr>
                <w:rFonts w:hint="eastAsia" w:ascii="宋体" w:hAnsi="宋体" w:eastAsia="宋体" w:cs="宋体"/>
                <w:sz w:val="18"/>
                <w:szCs w:val="18"/>
              </w:rPr>
              <w:t>PLAN-2021-440310-1002011001-01012</w:t>
            </w:r>
          </w:p>
        </w:tc>
        <w:tc>
          <w:tcPr>
            <w:tcW w:w="3260" w:type="dxa"/>
            <w:vAlign w:val="center"/>
          </w:tcPr>
          <w:p>
            <w:pPr>
              <w:jc w:val="center"/>
              <w:rPr>
                <w:rFonts w:hint="eastAsia" w:ascii="Times New Roman" w:hAnsi="Times New Roman" w:eastAsia="宋体" w:cs="Times New Roman"/>
                <w:b/>
                <w:bCs/>
                <w:color w:val="FF0000"/>
                <w:kern w:val="2"/>
                <w:sz w:val="21"/>
                <w:szCs w:val="21"/>
                <w:lang w:val="en-US" w:eastAsia="zh-CN" w:bidi="ar-SA"/>
              </w:rPr>
            </w:pPr>
            <w:r>
              <w:rPr>
                <w:rFonts w:hint="eastAsia" w:ascii="宋体" w:hAnsi="宋体" w:eastAsia="宋体" w:cs="宋体"/>
                <w:sz w:val="18"/>
                <w:szCs w:val="18"/>
              </w:rPr>
              <w:t>坪山区妇幼保健院住院综合楼医疗设备购置项目27包</w:t>
            </w:r>
          </w:p>
        </w:tc>
        <w:tc>
          <w:tcPr>
            <w:tcW w:w="2432" w:type="dxa"/>
            <w:vAlign w:val="center"/>
          </w:tcPr>
          <w:p>
            <w:pPr>
              <w:jc w:val="center"/>
              <w:rPr>
                <w:rFonts w:hint="eastAsia" w:ascii="Times New Roman" w:hAnsi="Times New Roman" w:eastAsia="宋体" w:cs="Times New Roman"/>
                <w:bCs/>
                <w:color w:val="FF0000"/>
                <w:kern w:val="2"/>
                <w:sz w:val="21"/>
                <w:szCs w:val="21"/>
                <w:lang w:val="en-US" w:eastAsia="zh-CN" w:bidi="ar-SA"/>
              </w:rPr>
            </w:pPr>
            <w:r>
              <w:rPr>
                <w:rFonts w:hint="eastAsia" w:ascii="宋体" w:hAnsi="宋体" w:eastAsia="宋体" w:cs="宋体"/>
                <w:color w:val="333333"/>
                <w:sz w:val="18"/>
                <w:szCs w:val="18"/>
              </w:rPr>
              <w:t>3,588,000.00</w:t>
            </w:r>
          </w:p>
        </w:tc>
      </w:tr>
    </w:tbl>
    <w:p>
      <w:pPr>
        <w:rPr>
          <w:rFonts w:ascii="宋体" w:hAnsi="宋体"/>
          <w:b/>
          <w:color w:val="FF0000"/>
          <w:szCs w:val="21"/>
        </w:rPr>
      </w:pPr>
    </w:p>
    <w:p>
      <w:pPr>
        <w:rPr>
          <w:rFonts w:ascii="宋体" w:hAnsi="宋体"/>
          <w:b/>
          <w:color w:val="FF0000"/>
          <w:szCs w:val="21"/>
        </w:rPr>
      </w:pPr>
    </w:p>
    <w:p>
      <w:pPr>
        <w:rPr>
          <w:rFonts w:ascii="宋体" w:hAnsi="宋体"/>
          <w:b/>
          <w:color w:val="FF0000"/>
          <w:szCs w:val="21"/>
        </w:rPr>
      </w:pPr>
    </w:p>
    <w:p>
      <w:pPr>
        <w:pStyle w:val="5"/>
        <w:numPr>
          <w:ilvl w:val="0"/>
          <w:numId w:val="13"/>
        </w:numPr>
        <w:spacing w:before="120" w:beforeLines="50" w:after="120" w:afterLines="50"/>
        <w:ind w:left="60"/>
        <w:jc w:val="both"/>
        <w:rPr>
          <w:rFonts w:hint="eastAsia"/>
          <w:szCs w:val="24"/>
        </w:rPr>
      </w:pPr>
      <w:bookmarkStart w:id="39" w:name="_Hlk72073432"/>
      <w:bookmarkStart w:id="40" w:name="_Hlk72258617"/>
      <w:r>
        <w:rPr>
          <w:rFonts w:hint="eastAsia"/>
          <w:szCs w:val="24"/>
        </w:rPr>
        <w:t>货物需求明细</w:t>
      </w:r>
      <w:bookmarkEnd w:id="39"/>
    </w:p>
    <w:tbl>
      <w:tblPr>
        <w:tblStyle w:val="43"/>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1"/>
        <w:gridCol w:w="1354"/>
        <w:gridCol w:w="811"/>
        <w:gridCol w:w="836"/>
        <w:gridCol w:w="1189"/>
        <w:gridCol w:w="924"/>
        <w:gridCol w:w="1428"/>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731" w:type="dxa"/>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354" w:type="dxa"/>
            <w:vAlign w:val="center"/>
          </w:tcPr>
          <w:p>
            <w:pPr>
              <w:widowControl/>
              <w:jc w:val="center"/>
              <w:rPr>
                <w:rFonts w:ascii="宋体" w:hAnsi="宋体" w:cs="宋体"/>
                <w:kern w:val="0"/>
                <w:szCs w:val="21"/>
              </w:rPr>
            </w:pPr>
            <w:r>
              <w:rPr>
                <w:rFonts w:hint="eastAsia" w:ascii="宋体" w:hAnsi="宋体" w:cs="宋体"/>
                <w:kern w:val="0"/>
                <w:szCs w:val="21"/>
              </w:rPr>
              <w:t>设备名称</w:t>
            </w:r>
          </w:p>
        </w:tc>
        <w:tc>
          <w:tcPr>
            <w:tcW w:w="81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836" w:type="dxa"/>
            <w:tcMar>
              <w:top w:w="0" w:type="dxa"/>
              <w:left w:w="108" w:type="dxa"/>
              <w:bottom w:w="0" w:type="dxa"/>
              <w:right w:w="108" w:type="dxa"/>
            </w:tcMar>
            <w:vAlign w:val="center"/>
          </w:tcPr>
          <w:p>
            <w:pPr>
              <w:widowControl/>
              <w:jc w:val="center"/>
            </w:pPr>
            <w:r>
              <w:rPr>
                <w:rFonts w:hint="eastAsia" w:ascii="宋体" w:hAnsi="宋体" w:cs="宋体"/>
                <w:kern w:val="0"/>
                <w:szCs w:val="21"/>
              </w:rPr>
              <w:t>单位</w:t>
            </w:r>
          </w:p>
        </w:tc>
        <w:tc>
          <w:tcPr>
            <w:tcW w:w="1189"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单价</w:t>
            </w:r>
          </w:p>
          <w:p>
            <w:pPr>
              <w:widowControl/>
              <w:jc w:val="center"/>
              <w:rPr>
                <w:rFonts w:hint="eastAsia" w:ascii="宋体" w:hAnsi="宋体" w:cs="宋体"/>
                <w:kern w:val="0"/>
                <w:szCs w:val="21"/>
              </w:rPr>
            </w:pPr>
            <w:r>
              <w:rPr>
                <w:rFonts w:hint="eastAsia" w:ascii="宋体" w:hAnsi="宋体" w:cs="宋体"/>
                <w:kern w:val="0"/>
                <w:szCs w:val="21"/>
              </w:rPr>
              <w:t>（万元）</w:t>
            </w:r>
          </w:p>
        </w:tc>
        <w:tc>
          <w:tcPr>
            <w:tcW w:w="924" w:type="dxa"/>
            <w:vAlign w:val="center"/>
          </w:tcPr>
          <w:p>
            <w:pPr>
              <w:widowControl/>
              <w:jc w:val="center"/>
              <w:rPr>
                <w:rFonts w:hint="eastAsia" w:ascii="宋体" w:hAnsi="宋体" w:cs="宋体"/>
                <w:kern w:val="0"/>
                <w:szCs w:val="21"/>
              </w:rPr>
            </w:pPr>
            <w:r>
              <w:rPr>
                <w:rFonts w:hint="eastAsia" w:ascii="宋体" w:hAnsi="宋体" w:cs="宋体"/>
                <w:kern w:val="0"/>
                <w:szCs w:val="21"/>
              </w:rPr>
              <w:t>是否允许进口</w:t>
            </w:r>
          </w:p>
        </w:tc>
        <w:tc>
          <w:tcPr>
            <w:tcW w:w="1428" w:type="dxa"/>
            <w:vAlign w:val="center"/>
          </w:tcPr>
          <w:p>
            <w:pPr>
              <w:widowControl/>
              <w:jc w:val="center"/>
            </w:pPr>
            <w:r>
              <w:rPr>
                <w:rFonts w:hint="eastAsia" w:ascii="宋体" w:hAnsi="宋体" w:cs="宋体"/>
                <w:kern w:val="0"/>
                <w:szCs w:val="21"/>
              </w:rPr>
              <w:t>财政预算限额（万元）</w:t>
            </w:r>
          </w:p>
        </w:tc>
        <w:tc>
          <w:tcPr>
            <w:tcW w:w="1102"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工业类型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354" w:type="dxa"/>
            <w:vAlign w:val="center"/>
          </w:tcPr>
          <w:p>
            <w:pPr>
              <w:widowControl/>
              <w:jc w:val="left"/>
              <w:rPr>
                <w:rFonts w:hint="eastAsia" w:ascii="宋体" w:hAnsi="宋体" w:cs="宋体"/>
                <w:kern w:val="0"/>
                <w:szCs w:val="21"/>
              </w:rPr>
            </w:pPr>
            <w:r>
              <w:rPr>
                <w:rFonts w:hint="eastAsia" w:ascii="宋体" w:hAnsi="宋体"/>
                <w:szCs w:val="21"/>
              </w:rPr>
              <w:t>超声切割止血系统</w:t>
            </w:r>
          </w:p>
        </w:tc>
        <w:tc>
          <w:tcPr>
            <w:tcW w:w="81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szCs w:val="21"/>
              </w:rPr>
              <w:t>1</w:t>
            </w:r>
          </w:p>
        </w:tc>
        <w:tc>
          <w:tcPr>
            <w:tcW w:w="836" w:type="dxa"/>
            <w:tcMar>
              <w:top w:w="0" w:type="dxa"/>
              <w:left w:w="108" w:type="dxa"/>
              <w:bottom w:w="0" w:type="dxa"/>
              <w:right w:w="108" w:type="dxa"/>
            </w:tcMar>
            <w:vAlign w:val="center"/>
          </w:tcPr>
          <w:p>
            <w:pPr>
              <w:widowControl/>
              <w:jc w:val="center"/>
              <w:rPr>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szCs w:val="21"/>
              </w:rPr>
              <w:t>60</w:t>
            </w:r>
          </w:p>
        </w:tc>
        <w:tc>
          <w:tcPr>
            <w:tcW w:w="924" w:type="dxa"/>
            <w:vAlign w:val="center"/>
          </w:tcPr>
          <w:p>
            <w:pPr>
              <w:widowControl/>
              <w:jc w:val="center"/>
              <w:rPr>
                <w:rFonts w:hint="eastAsia" w:ascii="宋体" w:hAnsi="宋体" w:cs="宋体"/>
                <w:kern w:val="0"/>
                <w:szCs w:val="21"/>
              </w:rPr>
            </w:pPr>
            <w:r>
              <w:rPr>
                <w:rFonts w:hint="eastAsia" w:ascii="宋体" w:hAnsi="宋体"/>
                <w:szCs w:val="21"/>
              </w:rPr>
              <w:t>是</w:t>
            </w:r>
          </w:p>
        </w:tc>
        <w:tc>
          <w:tcPr>
            <w:tcW w:w="1428" w:type="dxa"/>
            <w:vAlign w:val="center"/>
          </w:tcPr>
          <w:p>
            <w:pPr>
              <w:widowControl/>
              <w:jc w:val="center"/>
            </w:pPr>
            <w:r>
              <w:rPr>
                <w:rFonts w:hint="eastAsia" w:ascii="宋体" w:hAnsi="宋体"/>
                <w:szCs w:val="21"/>
              </w:rPr>
              <w:t>60</w:t>
            </w:r>
          </w:p>
        </w:tc>
        <w:tc>
          <w:tcPr>
            <w:tcW w:w="1102" w:type="dxa"/>
            <w:vAlign w:val="center"/>
          </w:tcPr>
          <w:p>
            <w:pPr>
              <w:widowControl/>
              <w:jc w:val="center"/>
              <w:rPr>
                <w:rFonts w:hint="eastAsia" w:ascii="宋体" w:hAnsi="宋体" w:cs="宋体"/>
                <w:kern w:val="0"/>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2</w:t>
            </w:r>
          </w:p>
        </w:tc>
        <w:tc>
          <w:tcPr>
            <w:tcW w:w="1354" w:type="dxa"/>
            <w:vAlign w:val="center"/>
          </w:tcPr>
          <w:p>
            <w:pPr>
              <w:widowControl/>
              <w:jc w:val="left"/>
              <w:rPr>
                <w:rFonts w:ascii="宋体" w:hAnsi="宋体"/>
                <w:szCs w:val="21"/>
              </w:rPr>
            </w:pPr>
            <w:r>
              <w:rPr>
                <w:rFonts w:hint="eastAsia" w:ascii="宋体" w:hAnsi="宋体"/>
                <w:szCs w:val="21"/>
              </w:rPr>
              <w:t>电外科能量平台（高频电外科手术系统）</w:t>
            </w:r>
          </w:p>
        </w:tc>
        <w:tc>
          <w:tcPr>
            <w:tcW w:w="811" w:type="dxa"/>
            <w:tcMar>
              <w:top w:w="0" w:type="dxa"/>
              <w:left w:w="108" w:type="dxa"/>
              <w:bottom w:w="0" w:type="dxa"/>
              <w:right w:w="108" w:type="dxa"/>
            </w:tcMar>
            <w:vAlign w:val="center"/>
          </w:tcPr>
          <w:p>
            <w:pPr>
              <w:widowControl/>
              <w:jc w:val="center"/>
              <w:rPr>
                <w:rFonts w:ascii="宋体" w:hAnsi="宋体"/>
                <w:szCs w:val="21"/>
              </w:rPr>
            </w:pPr>
            <w:r>
              <w:rPr>
                <w:rFonts w:hint="eastAsia" w:ascii="宋体" w:hAnsi="宋体"/>
                <w:szCs w:val="21"/>
              </w:rPr>
              <w:t>1</w:t>
            </w:r>
          </w:p>
        </w:tc>
        <w:tc>
          <w:tcPr>
            <w:tcW w:w="836" w:type="dxa"/>
            <w:tcMar>
              <w:top w:w="0" w:type="dxa"/>
              <w:left w:w="108" w:type="dxa"/>
              <w:bottom w:w="0" w:type="dxa"/>
              <w:right w:w="108" w:type="dxa"/>
            </w:tcMar>
            <w:vAlign w:val="center"/>
          </w:tcPr>
          <w:p>
            <w:pPr>
              <w:widowControl/>
              <w:jc w:val="center"/>
              <w:rPr>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ascii="宋体" w:hAnsi="宋体"/>
                <w:szCs w:val="21"/>
              </w:rPr>
            </w:pPr>
            <w:r>
              <w:rPr>
                <w:rFonts w:hint="eastAsia" w:ascii="宋体" w:hAnsi="宋体"/>
                <w:szCs w:val="21"/>
              </w:rPr>
              <w:t>90</w:t>
            </w:r>
          </w:p>
        </w:tc>
        <w:tc>
          <w:tcPr>
            <w:tcW w:w="924" w:type="dxa"/>
            <w:vAlign w:val="center"/>
          </w:tcPr>
          <w:p>
            <w:pPr>
              <w:widowControl/>
              <w:jc w:val="center"/>
              <w:rPr>
                <w:rFonts w:ascii="宋体" w:hAnsi="宋体"/>
                <w:szCs w:val="21"/>
              </w:rPr>
            </w:pPr>
            <w:r>
              <w:rPr>
                <w:rFonts w:hint="eastAsia" w:ascii="宋体" w:hAnsi="宋体"/>
                <w:szCs w:val="21"/>
              </w:rPr>
              <w:t>是</w:t>
            </w:r>
          </w:p>
        </w:tc>
        <w:tc>
          <w:tcPr>
            <w:tcW w:w="1428" w:type="dxa"/>
            <w:vAlign w:val="center"/>
          </w:tcPr>
          <w:p>
            <w:pPr>
              <w:widowControl/>
              <w:jc w:val="center"/>
            </w:pPr>
            <w:r>
              <w:rPr>
                <w:rFonts w:hint="eastAsia" w:ascii="宋体" w:hAnsi="宋体"/>
                <w:szCs w:val="21"/>
              </w:rPr>
              <w:t>90</w:t>
            </w:r>
          </w:p>
        </w:tc>
        <w:tc>
          <w:tcPr>
            <w:tcW w:w="1102" w:type="dxa"/>
            <w:vAlign w:val="center"/>
          </w:tcPr>
          <w:p>
            <w:pPr>
              <w:widowControl/>
              <w:jc w:val="center"/>
              <w:rPr>
                <w:rFonts w:ascii="宋体" w:hAnsi="宋体"/>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3</w:t>
            </w:r>
          </w:p>
        </w:tc>
        <w:tc>
          <w:tcPr>
            <w:tcW w:w="1354" w:type="dxa"/>
            <w:vAlign w:val="center"/>
          </w:tcPr>
          <w:p>
            <w:pPr>
              <w:widowControl/>
              <w:jc w:val="left"/>
              <w:rPr>
                <w:rFonts w:hint="eastAsia" w:ascii="宋体" w:hAnsi="宋体"/>
                <w:szCs w:val="21"/>
              </w:rPr>
            </w:pPr>
            <w:r>
              <w:rPr>
                <w:rFonts w:hint="eastAsia" w:ascii="宋体" w:hAnsi="宋体"/>
                <w:kern w:val="0"/>
                <w:szCs w:val="21"/>
              </w:rPr>
              <w:t>血液回收仪</w:t>
            </w:r>
          </w:p>
        </w:tc>
        <w:tc>
          <w:tcPr>
            <w:tcW w:w="811" w:type="dxa"/>
            <w:tcMar>
              <w:top w:w="0" w:type="dxa"/>
              <w:left w:w="108" w:type="dxa"/>
              <w:bottom w:w="0" w:type="dxa"/>
              <w:right w:w="108" w:type="dxa"/>
            </w:tcMar>
            <w:vAlign w:val="center"/>
          </w:tcPr>
          <w:p>
            <w:pPr>
              <w:widowControl/>
              <w:jc w:val="center"/>
              <w:rPr>
                <w:rFonts w:hint="eastAsia" w:ascii="宋体" w:hAnsi="宋体"/>
                <w:szCs w:val="21"/>
              </w:rPr>
            </w:pPr>
            <w:r>
              <w:rPr>
                <w:rFonts w:hint="eastAsia" w:ascii="宋体" w:hAnsi="宋体"/>
                <w:szCs w:val="21"/>
              </w:rPr>
              <w:t>1</w:t>
            </w:r>
          </w:p>
        </w:tc>
        <w:tc>
          <w:tcPr>
            <w:tcW w:w="836" w:type="dxa"/>
            <w:tcMar>
              <w:top w:w="0" w:type="dxa"/>
              <w:left w:w="108" w:type="dxa"/>
              <w:bottom w:w="0" w:type="dxa"/>
              <w:right w:w="108" w:type="dxa"/>
            </w:tcMar>
            <w:vAlign w:val="center"/>
          </w:tcPr>
          <w:p>
            <w:pPr>
              <w:widowControl/>
              <w:jc w:val="center"/>
              <w:rPr>
                <w:rFonts w:hint="eastAsia"/>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ascii="宋体" w:hAnsi="宋体"/>
                <w:szCs w:val="21"/>
              </w:rPr>
            </w:pPr>
            <w:r>
              <w:rPr>
                <w:rFonts w:hint="eastAsia" w:ascii="宋体" w:hAnsi="宋体"/>
                <w:kern w:val="0"/>
                <w:szCs w:val="21"/>
              </w:rPr>
              <w:t>50</w:t>
            </w:r>
          </w:p>
        </w:tc>
        <w:tc>
          <w:tcPr>
            <w:tcW w:w="924" w:type="dxa"/>
            <w:vAlign w:val="center"/>
          </w:tcPr>
          <w:p>
            <w:pPr>
              <w:widowControl/>
              <w:jc w:val="center"/>
              <w:rPr>
                <w:rFonts w:ascii="宋体" w:hAnsi="宋体"/>
                <w:szCs w:val="21"/>
              </w:rPr>
            </w:pPr>
            <w:r>
              <w:rPr>
                <w:rFonts w:hint="eastAsia" w:ascii="宋体" w:hAnsi="宋体"/>
                <w:kern w:val="0"/>
                <w:szCs w:val="21"/>
              </w:rPr>
              <w:t>是</w:t>
            </w:r>
          </w:p>
        </w:tc>
        <w:tc>
          <w:tcPr>
            <w:tcW w:w="1428" w:type="dxa"/>
            <w:vAlign w:val="center"/>
          </w:tcPr>
          <w:p>
            <w:pPr>
              <w:widowControl/>
              <w:jc w:val="center"/>
            </w:pPr>
            <w:r>
              <w:rPr>
                <w:rFonts w:hint="eastAsia" w:ascii="宋体" w:hAnsi="宋体"/>
                <w:kern w:val="0"/>
                <w:szCs w:val="21"/>
              </w:rPr>
              <w:t>50</w:t>
            </w:r>
          </w:p>
        </w:tc>
        <w:tc>
          <w:tcPr>
            <w:tcW w:w="1102" w:type="dxa"/>
            <w:vAlign w:val="center"/>
          </w:tcPr>
          <w:p>
            <w:pPr>
              <w:widowControl/>
              <w:jc w:val="center"/>
              <w:rPr>
                <w:rFonts w:ascii="宋体" w:hAnsi="宋体"/>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4</w:t>
            </w:r>
          </w:p>
        </w:tc>
        <w:tc>
          <w:tcPr>
            <w:tcW w:w="1354" w:type="dxa"/>
            <w:vAlign w:val="center"/>
          </w:tcPr>
          <w:p>
            <w:pPr>
              <w:widowControl/>
              <w:jc w:val="left"/>
              <w:rPr>
                <w:rFonts w:hint="eastAsia" w:ascii="宋体" w:hAnsi="宋体" w:cs="宋体"/>
                <w:kern w:val="0"/>
                <w:szCs w:val="21"/>
              </w:rPr>
            </w:pPr>
            <w:r>
              <w:rPr>
                <w:rFonts w:hint="eastAsia" w:ascii="宋体" w:hAnsi="宋体"/>
                <w:szCs w:val="21"/>
              </w:rPr>
              <w:t>新生儿保暖箱</w:t>
            </w:r>
          </w:p>
        </w:tc>
        <w:tc>
          <w:tcPr>
            <w:tcW w:w="81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836" w:type="dxa"/>
            <w:tcMar>
              <w:top w:w="0" w:type="dxa"/>
              <w:left w:w="108" w:type="dxa"/>
              <w:bottom w:w="0" w:type="dxa"/>
              <w:right w:w="108" w:type="dxa"/>
            </w:tcMar>
            <w:vAlign w:val="center"/>
          </w:tcPr>
          <w:p>
            <w:pPr>
              <w:widowControl/>
              <w:jc w:val="center"/>
              <w:rPr>
                <w:rFonts w:hint="eastAsia"/>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924" w:type="dxa"/>
            <w:vAlign w:val="center"/>
          </w:tcPr>
          <w:p>
            <w:pPr>
              <w:widowControl/>
              <w:jc w:val="center"/>
              <w:rPr>
                <w:rFonts w:hint="eastAsia" w:ascii="宋体" w:hAnsi="宋体" w:cs="宋体"/>
                <w:kern w:val="0"/>
                <w:szCs w:val="21"/>
              </w:rPr>
            </w:pPr>
            <w:r>
              <w:rPr>
                <w:rFonts w:hint="eastAsia" w:ascii="宋体" w:hAnsi="宋体" w:cs="宋体"/>
                <w:kern w:val="0"/>
                <w:szCs w:val="21"/>
              </w:rPr>
              <w:t>否</w:t>
            </w:r>
          </w:p>
        </w:tc>
        <w:tc>
          <w:tcPr>
            <w:tcW w:w="1428" w:type="dxa"/>
            <w:vAlign w:val="center"/>
          </w:tcPr>
          <w:p>
            <w:pPr>
              <w:widowControl/>
              <w:jc w:val="center"/>
            </w:pPr>
            <w:r>
              <w:rPr>
                <w:rFonts w:hint="eastAsia" w:ascii="宋体" w:hAnsi="宋体" w:cs="宋体"/>
                <w:kern w:val="0"/>
                <w:szCs w:val="21"/>
              </w:rPr>
              <w:t>28</w:t>
            </w:r>
          </w:p>
        </w:tc>
        <w:tc>
          <w:tcPr>
            <w:tcW w:w="1102" w:type="dxa"/>
            <w:vAlign w:val="center"/>
          </w:tcPr>
          <w:p>
            <w:pPr>
              <w:widowControl/>
              <w:jc w:val="center"/>
              <w:rPr>
                <w:rFonts w:ascii="宋体" w:hAnsi="宋体" w:cs="宋体"/>
                <w:kern w:val="0"/>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5</w:t>
            </w:r>
          </w:p>
        </w:tc>
        <w:tc>
          <w:tcPr>
            <w:tcW w:w="1354" w:type="dxa"/>
            <w:vAlign w:val="center"/>
          </w:tcPr>
          <w:p>
            <w:pPr>
              <w:widowControl/>
              <w:jc w:val="left"/>
              <w:rPr>
                <w:rFonts w:hint="eastAsia" w:ascii="宋体" w:hAnsi="宋体"/>
                <w:szCs w:val="21"/>
                <w:u w:val="single"/>
              </w:rPr>
            </w:pPr>
            <w:r>
              <w:rPr>
                <w:rFonts w:hint="eastAsia" w:ascii="宋体" w:hAnsi="宋体"/>
                <w:kern w:val="0"/>
                <w:szCs w:val="21"/>
              </w:rPr>
              <w:t>新生儿亚低温治疗仪</w:t>
            </w:r>
          </w:p>
        </w:tc>
        <w:tc>
          <w:tcPr>
            <w:tcW w:w="811" w:type="dxa"/>
            <w:tcMar>
              <w:top w:w="0" w:type="dxa"/>
              <w:left w:w="108" w:type="dxa"/>
              <w:bottom w:w="0" w:type="dxa"/>
              <w:right w:w="108" w:type="dxa"/>
            </w:tcMar>
            <w:vAlign w:val="center"/>
          </w:tcPr>
          <w:p>
            <w:pPr>
              <w:widowControl/>
              <w:jc w:val="center"/>
              <w:rPr>
                <w:rFonts w:hint="eastAsia" w:ascii="宋体" w:hAnsi="宋体"/>
                <w:szCs w:val="21"/>
              </w:rPr>
            </w:pPr>
            <w:r>
              <w:rPr>
                <w:rFonts w:hint="eastAsia" w:ascii="宋体" w:hAnsi="宋体"/>
                <w:kern w:val="0"/>
                <w:szCs w:val="21"/>
              </w:rPr>
              <w:t>1</w:t>
            </w:r>
          </w:p>
        </w:tc>
        <w:tc>
          <w:tcPr>
            <w:tcW w:w="836" w:type="dxa"/>
            <w:tcMar>
              <w:top w:w="0" w:type="dxa"/>
              <w:left w:w="108" w:type="dxa"/>
              <w:bottom w:w="0" w:type="dxa"/>
              <w:right w:w="108" w:type="dxa"/>
            </w:tcMar>
            <w:vAlign w:val="center"/>
          </w:tcPr>
          <w:p>
            <w:pPr>
              <w:widowControl/>
              <w:jc w:val="center"/>
              <w:rPr>
                <w:rFonts w:hint="eastAsia" w:ascii="宋体" w:hAnsi="宋体"/>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ascii="宋体" w:hAnsi="宋体"/>
                <w:szCs w:val="21"/>
              </w:rPr>
            </w:pPr>
            <w:r>
              <w:rPr>
                <w:rFonts w:hint="eastAsia" w:ascii="宋体" w:hAnsi="宋体"/>
                <w:kern w:val="0"/>
                <w:szCs w:val="21"/>
              </w:rPr>
              <w:t>48</w:t>
            </w:r>
          </w:p>
        </w:tc>
        <w:tc>
          <w:tcPr>
            <w:tcW w:w="924" w:type="dxa"/>
            <w:vAlign w:val="center"/>
          </w:tcPr>
          <w:p>
            <w:pPr>
              <w:widowControl/>
              <w:jc w:val="center"/>
              <w:rPr>
                <w:rFonts w:ascii="宋体" w:hAnsi="宋体"/>
                <w:szCs w:val="21"/>
              </w:rPr>
            </w:pPr>
            <w:r>
              <w:rPr>
                <w:rFonts w:hint="eastAsia" w:ascii="宋体" w:hAnsi="宋体"/>
                <w:kern w:val="0"/>
                <w:szCs w:val="21"/>
              </w:rPr>
              <w:t>是</w:t>
            </w:r>
          </w:p>
        </w:tc>
        <w:tc>
          <w:tcPr>
            <w:tcW w:w="1428" w:type="dxa"/>
            <w:vAlign w:val="center"/>
          </w:tcPr>
          <w:p>
            <w:pPr>
              <w:widowControl/>
              <w:jc w:val="center"/>
            </w:pPr>
            <w:r>
              <w:rPr>
                <w:rFonts w:hint="eastAsia" w:ascii="宋体" w:hAnsi="宋体"/>
                <w:kern w:val="0"/>
                <w:szCs w:val="21"/>
              </w:rPr>
              <w:t>48</w:t>
            </w:r>
          </w:p>
        </w:tc>
        <w:tc>
          <w:tcPr>
            <w:tcW w:w="1102" w:type="dxa"/>
            <w:vAlign w:val="center"/>
          </w:tcPr>
          <w:p>
            <w:pPr>
              <w:widowControl/>
              <w:jc w:val="center"/>
              <w:rPr>
                <w:rFonts w:ascii="宋体" w:hAnsi="宋体"/>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6</w:t>
            </w:r>
          </w:p>
        </w:tc>
        <w:tc>
          <w:tcPr>
            <w:tcW w:w="1354" w:type="dxa"/>
            <w:vAlign w:val="center"/>
          </w:tcPr>
          <w:p>
            <w:pPr>
              <w:widowControl/>
              <w:jc w:val="left"/>
              <w:rPr>
                <w:rFonts w:hint="eastAsia" w:ascii="宋体" w:hAnsi="宋体" w:cs="宋体"/>
                <w:kern w:val="0"/>
                <w:szCs w:val="21"/>
              </w:rPr>
            </w:pPr>
            <w:r>
              <w:rPr>
                <w:rFonts w:hint="eastAsia" w:ascii="宋体" w:hAnsi="宋体" w:cs="宋体"/>
                <w:kern w:val="0"/>
                <w:szCs w:val="21"/>
              </w:rPr>
              <w:t>亚低温治疗仪</w:t>
            </w:r>
          </w:p>
        </w:tc>
        <w:tc>
          <w:tcPr>
            <w:tcW w:w="811" w:type="dxa"/>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1</w:t>
            </w:r>
          </w:p>
        </w:tc>
        <w:tc>
          <w:tcPr>
            <w:tcW w:w="836"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ascii="宋体" w:hAnsi="宋体"/>
                <w:szCs w:val="21"/>
              </w:rPr>
            </w:pPr>
            <w:r>
              <w:rPr>
                <w:rFonts w:hint="eastAsia" w:ascii="宋体" w:hAnsi="宋体"/>
                <w:szCs w:val="21"/>
              </w:rPr>
              <w:t>48</w:t>
            </w:r>
          </w:p>
        </w:tc>
        <w:tc>
          <w:tcPr>
            <w:tcW w:w="924" w:type="dxa"/>
            <w:vAlign w:val="center"/>
          </w:tcPr>
          <w:p>
            <w:pPr>
              <w:widowControl/>
              <w:jc w:val="center"/>
              <w:rPr>
                <w:rFonts w:ascii="宋体" w:hAnsi="宋体" w:cs="宋体"/>
                <w:kern w:val="0"/>
                <w:szCs w:val="21"/>
              </w:rPr>
            </w:pPr>
            <w:r>
              <w:rPr>
                <w:rFonts w:hint="eastAsia" w:ascii="宋体" w:hAnsi="宋体" w:cs="宋体"/>
                <w:kern w:val="0"/>
                <w:szCs w:val="21"/>
              </w:rPr>
              <w:t>是</w:t>
            </w:r>
          </w:p>
        </w:tc>
        <w:tc>
          <w:tcPr>
            <w:tcW w:w="1428" w:type="dxa"/>
            <w:vAlign w:val="center"/>
          </w:tcPr>
          <w:p>
            <w:pPr>
              <w:widowControl/>
              <w:jc w:val="center"/>
            </w:pPr>
            <w:r>
              <w:rPr>
                <w:rFonts w:hint="eastAsia" w:ascii="宋体" w:hAnsi="宋体"/>
                <w:szCs w:val="21"/>
              </w:rPr>
              <w:t>48</w:t>
            </w:r>
          </w:p>
        </w:tc>
        <w:tc>
          <w:tcPr>
            <w:tcW w:w="1102" w:type="dxa"/>
            <w:vAlign w:val="center"/>
          </w:tcPr>
          <w:p>
            <w:pPr>
              <w:widowControl/>
              <w:jc w:val="center"/>
              <w:rPr>
                <w:rFonts w:ascii="宋体" w:hAnsi="宋体"/>
                <w:szCs w:val="21"/>
              </w:rPr>
            </w:pPr>
            <w:r>
              <w:rPr>
                <w:rFonts w:hint="eastAsia" w:ascii="宋体" w:hAnsi="宋体" w:cs="宋体"/>
                <w:kern w:val="0"/>
                <w:szCs w:val="21"/>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31" w:type="dxa"/>
            <w:vAlign w:val="center"/>
          </w:tcPr>
          <w:p>
            <w:pPr>
              <w:widowControl/>
              <w:jc w:val="center"/>
              <w:rPr>
                <w:rFonts w:hint="eastAsia" w:ascii="宋体" w:hAnsi="宋体"/>
                <w:szCs w:val="21"/>
              </w:rPr>
            </w:pPr>
            <w:r>
              <w:rPr>
                <w:rFonts w:hint="eastAsia" w:ascii="宋体" w:hAnsi="宋体"/>
                <w:szCs w:val="21"/>
              </w:rPr>
              <w:t>7</w:t>
            </w:r>
          </w:p>
        </w:tc>
        <w:tc>
          <w:tcPr>
            <w:tcW w:w="1354" w:type="dxa"/>
            <w:vAlign w:val="center"/>
          </w:tcPr>
          <w:p>
            <w:pPr>
              <w:widowControl/>
              <w:jc w:val="left"/>
              <w:rPr>
                <w:rFonts w:hint="eastAsia" w:ascii="宋体" w:hAnsi="宋体" w:cs="宋体"/>
                <w:kern w:val="0"/>
                <w:szCs w:val="21"/>
              </w:rPr>
            </w:pPr>
            <w:r>
              <w:rPr>
                <w:rFonts w:hint="eastAsia" w:ascii="宋体" w:hAnsi="宋体"/>
                <w:szCs w:val="21"/>
              </w:rPr>
              <w:t>盆底神经肌肉刺激治疗仪</w:t>
            </w:r>
          </w:p>
        </w:tc>
        <w:tc>
          <w:tcPr>
            <w:tcW w:w="81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836" w:type="dxa"/>
            <w:tcMar>
              <w:top w:w="0" w:type="dxa"/>
              <w:left w:w="108" w:type="dxa"/>
              <w:bottom w:w="0" w:type="dxa"/>
              <w:right w:w="108" w:type="dxa"/>
            </w:tcMar>
            <w:vAlign w:val="center"/>
          </w:tcPr>
          <w:p>
            <w:pPr>
              <w:widowControl/>
              <w:jc w:val="center"/>
              <w:rPr>
                <w:rFonts w:hint="eastAsia"/>
                <w:szCs w:val="21"/>
              </w:rPr>
            </w:pPr>
            <w:r>
              <w:rPr>
                <w:rFonts w:hint="eastAsia" w:ascii="宋体" w:hAnsi="宋体" w:cs="宋体"/>
                <w:szCs w:val="21"/>
              </w:rPr>
              <w:t>台/套</w:t>
            </w:r>
          </w:p>
        </w:tc>
        <w:tc>
          <w:tcPr>
            <w:tcW w:w="1189"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34.8</w:t>
            </w:r>
          </w:p>
        </w:tc>
        <w:tc>
          <w:tcPr>
            <w:tcW w:w="924" w:type="dxa"/>
            <w:vAlign w:val="center"/>
          </w:tcPr>
          <w:p>
            <w:pPr>
              <w:widowControl/>
              <w:jc w:val="center"/>
              <w:rPr>
                <w:rFonts w:hint="eastAsia" w:ascii="宋体" w:hAnsi="宋体" w:cs="宋体"/>
                <w:kern w:val="0"/>
                <w:szCs w:val="21"/>
              </w:rPr>
            </w:pPr>
            <w:r>
              <w:rPr>
                <w:rFonts w:hint="eastAsia" w:ascii="宋体" w:hAnsi="宋体" w:cs="宋体"/>
                <w:kern w:val="0"/>
                <w:szCs w:val="21"/>
              </w:rPr>
              <w:t>是</w:t>
            </w:r>
          </w:p>
        </w:tc>
        <w:tc>
          <w:tcPr>
            <w:tcW w:w="1428" w:type="dxa"/>
            <w:vAlign w:val="center"/>
          </w:tcPr>
          <w:p>
            <w:pPr>
              <w:widowControl/>
              <w:jc w:val="center"/>
            </w:pPr>
            <w:r>
              <w:rPr>
                <w:rFonts w:hint="eastAsia" w:ascii="宋体" w:hAnsi="宋体" w:cs="宋体"/>
                <w:kern w:val="0"/>
                <w:szCs w:val="21"/>
              </w:rPr>
              <w:t>34.8</w:t>
            </w:r>
          </w:p>
        </w:tc>
        <w:tc>
          <w:tcPr>
            <w:tcW w:w="1102" w:type="dxa"/>
            <w:vAlign w:val="center"/>
          </w:tcPr>
          <w:p>
            <w:pPr>
              <w:widowControl/>
              <w:jc w:val="center"/>
              <w:rPr>
                <w:rFonts w:ascii="宋体" w:hAnsi="宋体" w:cs="宋体"/>
                <w:kern w:val="0"/>
                <w:szCs w:val="21"/>
              </w:rPr>
            </w:pPr>
            <w:r>
              <w:rPr>
                <w:rFonts w:hint="eastAsia" w:ascii="宋体" w:hAnsi="宋体" w:cs="宋体"/>
                <w:kern w:val="0"/>
                <w:szCs w:val="21"/>
                <w:lang w:eastAsia="zh-CN"/>
              </w:rPr>
              <w:t>工业</w:t>
            </w:r>
          </w:p>
        </w:tc>
      </w:tr>
    </w:tbl>
    <w:p>
      <w:pPr>
        <w:ind w:firstLine="422" w:firstLineChars="200"/>
        <w:rPr>
          <w:rFonts w:ascii="宋体" w:hAnsi="宋体"/>
          <w:b/>
          <w:color w:val="FF0000"/>
          <w:szCs w:val="21"/>
        </w:rPr>
      </w:pPr>
      <w:r>
        <w:rPr>
          <w:rFonts w:hint="eastAsia" w:ascii="宋体" w:hAnsi="宋体"/>
          <w:b/>
          <w:color w:val="FF0000"/>
          <w:szCs w:val="21"/>
        </w:rPr>
        <w:t xml:space="preserve">备注：1.备注栏注明“拒绝进口”的产品不接受投标人选用进口产品参与投标；注明“接受进口”的产品允许投标人选用进口产品参与投标，但不排斥国内产品。 </w:t>
      </w:r>
    </w:p>
    <w:p>
      <w:pPr>
        <w:ind w:firstLine="422" w:firstLineChars="200"/>
        <w:rPr>
          <w:rFonts w:ascii="宋体" w:hAnsi="宋体"/>
          <w:b/>
          <w:color w:val="FF0000"/>
          <w:szCs w:val="21"/>
        </w:rPr>
      </w:pPr>
      <w:r>
        <w:rPr>
          <w:rFonts w:hint="eastAsia" w:ascii="宋体" w:hAnsi="宋体"/>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ind w:firstLine="422" w:firstLineChars="200"/>
        <w:rPr>
          <w:rFonts w:hint="eastAsia" w:ascii="宋体" w:hAnsi="宋体" w:cs="宋体"/>
          <w:b/>
          <w:bCs/>
          <w:kern w:val="0"/>
          <w:sz w:val="24"/>
        </w:rPr>
      </w:pPr>
      <w:r>
        <w:rPr>
          <w:rFonts w:hint="eastAsia" w:ascii="宋体" w:hAnsi="宋体"/>
          <w:b/>
          <w:color w:val="FF0000"/>
          <w:szCs w:val="21"/>
        </w:rPr>
        <w:t>3、本项目核心产品为：</w:t>
      </w:r>
      <w:r>
        <w:rPr>
          <w:rFonts w:hint="eastAsia" w:ascii="宋体" w:hAnsi="宋体"/>
          <w:b/>
          <w:color w:val="FF0000"/>
          <w:szCs w:val="21"/>
          <w:u w:val="single"/>
        </w:rPr>
        <w:t xml:space="preserve">   </w:t>
      </w:r>
      <w:r>
        <w:rPr>
          <w:rFonts w:hint="eastAsia" w:ascii="宋体" w:hAnsi="宋体"/>
          <w:sz w:val="21"/>
          <w:szCs w:val="21"/>
          <w:u w:val="single"/>
          <w:lang w:eastAsia="zh-CN"/>
        </w:rPr>
        <w:t>电外科能量平台（高频电外科手术系统）</w:t>
      </w:r>
      <w:r>
        <w:rPr>
          <w:rFonts w:hint="eastAsia" w:ascii="宋体" w:hAnsi="宋体"/>
          <w:b/>
          <w:color w:val="FF0000"/>
          <w:szCs w:val="21"/>
          <w:u w:val="single"/>
        </w:rPr>
        <w:t xml:space="preserve">   </w:t>
      </w:r>
      <w:r>
        <w:rPr>
          <w:rFonts w:hint="eastAsia" w:ascii="宋体" w:hAnsi="宋体"/>
          <w:b/>
          <w:color w:val="FF0000"/>
          <w:szCs w:val="21"/>
        </w:rPr>
        <w:t>。</w:t>
      </w:r>
      <w:bookmarkEnd w:id="40"/>
    </w:p>
    <w:p>
      <w:pPr>
        <w:spacing w:line="360" w:lineRule="auto"/>
        <w:ind w:firstLine="482" w:firstLineChars="200"/>
        <w:jc w:val="center"/>
        <w:outlineLvl w:val="1"/>
        <w:rPr>
          <w:rFonts w:hint="eastAsia" w:ascii="宋体" w:hAnsi="宋体"/>
          <w:b/>
          <w:sz w:val="24"/>
        </w:rPr>
      </w:pPr>
      <w:r>
        <w:rPr>
          <w:rFonts w:hint="eastAsia" w:ascii="宋体" w:hAnsi="宋体" w:cs="宋体"/>
          <w:b/>
          <w:bCs/>
          <w:kern w:val="0"/>
          <w:sz w:val="24"/>
        </w:rPr>
        <w:t>三、产品</w:t>
      </w:r>
      <w:r>
        <w:rPr>
          <w:rFonts w:hint="eastAsia" w:ascii="宋体" w:hAnsi="宋体"/>
          <w:b/>
          <w:sz w:val="24"/>
        </w:rPr>
        <w:t>配置清单</w:t>
      </w:r>
    </w:p>
    <w:p>
      <w:pPr>
        <w:spacing w:line="360" w:lineRule="auto"/>
        <w:ind w:firstLine="480" w:firstLineChars="200"/>
        <w:outlineLvl w:val="9"/>
        <w:rPr>
          <w:rFonts w:ascii="宋体" w:hAnsi="宋体"/>
          <w:b/>
          <w:sz w:val="24"/>
        </w:rPr>
      </w:pPr>
      <w:r>
        <w:rPr>
          <w:rFonts w:hint="eastAsia" w:ascii="宋体" w:hAnsi="宋体"/>
          <w:sz w:val="24"/>
        </w:rPr>
        <w:t xml:space="preserve">1. </w:t>
      </w:r>
      <w:r>
        <w:rPr>
          <w:rFonts w:hint="eastAsia" w:ascii="宋体" w:hAnsi="宋体"/>
          <w:sz w:val="24"/>
          <w:u w:val="single"/>
        </w:rPr>
        <w:t>超声切割止血系统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pPr>
            <w:r>
              <w:rPr>
                <w:rFonts w:hint="eastAsia"/>
              </w:rPr>
              <w:t>1.主机发生器</w:t>
            </w:r>
          </w:p>
        </w:tc>
        <w:tc>
          <w:tcPr>
            <w:tcW w:w="1610" w:type="dxa"/>
            <w:vAlign w:val="center"/>
          </w:tcPr>
          <w:p>
            <w:pPr>
              <w:jc w:val="center"/>
              <w:rPr>
                <w:rFonts w:hint="eastAsia"/>
              </w:rPr>
            </w:pPr>
            <w:r>
              <w:rPr>
                <w:rFonts w:hint="eastAsia"/>
              </w:rPr>
              <w:t>台</w:t>
            </w:r>
          </w:p>
        </w:tc>
        <w:tc>
          <w:tcPr>
            <w:tcW w:w="1241"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pPr>
            <w:r>
              <w:rPr>
                <w:rFonts w:hint="eastAsia"/>
              </w:rPr>
              <w:t>2.脚控开关</w:t>
            </w:r>
          </w:p>
        </w:tc>
        <w:tc>
          <w:tcPr>
            <w:tcW w:w="1610" w:type="dxa"/>
            <w:vAlign w:val="center"/>
          </w:tcPr>
          <w:p>
            <w:pPr>
              <w:jc w:val="center"/>
            </w:pPr>
            <w:r>
              <w:rPr>
                <w:rFonts w:hint="eastAsia"/>
              </w:rPr>
              <w:t>个</w:t>
            </w:r>
          </w:p>
        </w:tc>
        <w:tc>
          <w:tcPr>
            <w:tcW w:w="1241"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3.静音车架</w:t>
            </w:r>
          </w:p>
        </w:tc>
        <w:tc>
          <w:tcPr>
            <w:tcW w:w="1610" w:type="dxa"/>
            <w:vAlign w:val="center"/>
          </w:tcPr>
          <w:p>
            <w:pPr>
              <w:jc w:val="center"/>
              <w:rPr>
                <w:rFonts w:hint="eastAsia"/>
              </w:rPr>
            </w:pPr>
            <w:r>
              <w:rPr>
                <w:rFonts w:hint="eastAsia"/>
              </w:rPr>
              <w:t>台</w:t>
            </w:r>
          </w:p>
        </w:tc>
        <w:tc>
          <w:tcPr>
            <w:tcW w:w="1241" w:type="dxa"/>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4.转接头</w:t>
            </w:r>
          </w:p>
        </w:tc>
        <w:tc>
          <w:tcPr>
            <w:tcW w:w="1610" w:type="dxa"/>
            <w:vAlign w:val="center"/>
          </w:tcPr>
          <w:p>
            <w:pPr>
              <w:jc w:val="center"/>
              <w:rPr>
                <w:rFonts w:hint="eastAsia"/>
              </w:rPr>
            </w:pPr>
            <w:r>
              <w:rPr>
                <w:rFonts w:hint="eastAsia"/>
              </w:rPr>
              <w:t>个</w:t>
            </w:r>
          </w:p>
        </w:tc>
        <w:tc>
          <w:tcPr>
            <w:tcW w:w="1241" w:type="dxa"/>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5.剪式刀头换能手柄</w:t>
            </w:r>
          </w:p>
        </w:tc>
        <w:tc>
          <w:tcPr>
            <w:tcW w:w="1610" w:type="dxa"/>
            <w:vAlign w:val="center"/>
          </w:tcPr>
          <w:p>
            <w:pPr>
              <w:jc w:val="center"/>
              <w:rPr>
                <w:rFonts w:hint="eastAsia"/>
              </w:rPr>
            </w:pPr>
            <w:r>
              <w:rPr>
                <w:rFonts w:hint="eastAsia"/>
              </w:rPr>
              <w:t>条</w:t>
            </w:r>
          </w:p>
        </w:tc>
        <w:tc>
          <w:tcPr>
            <w:tcW w:w="1241" w:type="dxa"/>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6.枪式刀头换能手柄</w:t>
            </w:r>
          </w:p>
        </w:tc>
        <w:tc>
          <w:tcPr>
            <w:tcW w:w="1610" w:type="dxa"/>
            <w:vAlign w:val="center"/>
          </w:tcPr>
          <w:p>
            <w:pPr>
              <w:jc w:val="center"/>
              <w:rPr>
                <w:rFonts w:hint="eastAsia"/>
              </w:rPr>
            </w:pPr>
            <w:r>
              <w:rPr>
                <w:rFonts w:hint="eastAsia"/>
              </w:rPr>
              <w:t>条</w:t>
            </w:r>
          </w:p>
        </w:tc>
        <w:tc>
          <w:tcPr>
            <w:tcW w:w="1241" w:type="dxa"/>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7.同品牌枪式开放超声刀头（可凝闭不超过5mm脉管）</w:t>
            </w:r>
          </w:p>
        </w:tc>
        <w:tc>
          <w:tcPr>
            <w:tcW w:w="1610" w:type="dxa"/>
            <w:vAlign w:val="center"/>
          </w:tcPr>
          <w:p>
            <w:pPr>
              <w:jc w:val="center"/>
              <w:rPr>
                <w:rFonts w:hint="eastAsia"/>
              </w:rPr>
            </w:pPr>
            <w:r>
              <w:rPr>
                <w:rFonts w:hint="eastAsia"/>
              </w:rPr>
              <w:t>把</w:t>
            </w:r>
          </w:p>
        </w:tc>
        <w:tc>
          <w:tcPr>
            <w:tcW w:w="1241"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8.同品牌枪式腔镜超声刀头（可凝闭不超过5mm脉管）</w:t>
            </w:r>
          </w:p>
        </w:tc>
        <w:tc>
          <w:tcPr>
            <w:tcW w:w="1610" w:type="dxa"/>
            <w:vAlign w:val="center"/>
          </w:tcPr>
          <w:p>
            <w:pPr>
              <w:jc w:val="center"/>
              <w:rPr>
                <w:rFonts w:hint="eastAsia"/>
              </w:rPr>
            </w:pPr>
            <w:r>
              <w:rPr>
                <w:rFonts w:hint="eastAsia"/>
              </w:rPr>
              <w:t>把</w:t>
            </w:r>
          </w:p>
        </w:tc>
        <w:tc>
          <w:tcPr>
            <w:tcW w:w="1241" w:type="dxa"/>
            <w:vAlign w:val="center"/>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9.同品牌剪式开放超声刀头（可凝闭不超过5mm脉管）</w:t>
            </w:r>
          </w:p>
        </w:tc>
        <w:tc>
          <w:tcPr>
            <w:tcW w:w="1610" w:type="dxa"/>
            <w:vAlign w:val="center"/>
          </w:tcPr>
          <w:p>
            <w:pPr>
              <w:jc w:val="center"/>
              <w:rPr>
                <w:rFonts w:hint="eastAsia"/>
              </w:rPr>
            </w:pPr>
            <w:r>
              <w:rPr>
                <w:rFonts w:hint="eastAsia"/>
              </w:rPr>
              <w:t>把</w:t>
            </w:r>
          </w:p>
        </w:tc>
        <w:tc>
          <w:tcPr>
            <w:tcW w:w="1241" w:type="dxa"/>
            <w:vAlign w:val="center"/>
          </w:tcPr>
          <w:p>
            <w:pPr>
              <w:jc w:val="center"/>
            </w:pPr>
            <w:r>
              <w:rPr>
                <w:rFonts w:hint="eastAsia"/>
              </w:rPr>
              <w:t>3</w:t>
            </w:r>
          </w:p>
        </w:tc>
      </w:tr>
    </w:tbl>
    <w:p>
      <w:pPr>
        <w:numPr>
          <w:ilvl w:val="0"/>
          <w:numId w:val="14"/>
        </w:numPr>
        <w:spacing w:line="360" w:lineRule="auto"/>
        <w:ind w:firstLine="480" w:firstLineChars="200"/>
        <w:rPr>
          <w:rFonts w:hint="eastAsia" w:ascii="仿宋" w:hAnsi="仿宋"/>
          <w:bCs/>
          <w:sz w:val="24"/>
          <w:u w:val="single"/>
        </w:rPr>
      </w:pPr>
      <w:r>
        <w:rPr>
          <w:rFonts w:hint="eastAsia" w:ascii="仿宋" w:hAnsi="仿宋"/>
          <w:bCs/>
          <w:sz w:val="24"/>
          <w:u w:val="single"/>
        </w:rPr>
        <w:t>电外科能量平台（高频电外科手术系统）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1.能量平台主机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2.双脚踏开关</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3.腔镜大血管闭合钳</w:t>
            </w:r>
          </w:p>
        </w:tc>
        <w:tc>
          <w:tcPr>
            <w:tcW w:w="1610" w:type="dxa"/>
            <w:vAlign w:val="center"/>
          </w:tcPr>
          <w:p>
            <w:pPr>
              <w:jc w:val="center"/>
              <w:rPr>
                <w:rFonts w:hint="eastAsia"/>
              </w:rPr>
            </w:pPr>
            <w:r>
              <w:rPr>
                <w:rFonts w:hint="eastAsia"/>
              </w:rPr>
              <w:t>把</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pPr>
            <w:r>
              <w:rPr>
                <w:rFonts w:hint="eastAsia"/>
              </w:rPr>
              <w:t>4.大血管闭合系统软件</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pPr>
            <w:r>
              <w:rPr>
                <w:rFonts w:hint="eastAsia"/>
              </w:rPr>
              <w:t>5.腔镜双极电切电凝剪</w:t>
            </w:r>
          </w:p>
        </w:tc>
        <w:tc>
          <w:tcPr>
            <w:tcW w:w="1610" w:type="dxa"/>
            <w:vAlign w:val="center"/>
          </w:tcPr>
          <w:p>
            <w:pPr>
              <w:jc w:val="center"/>
              <w:rPr>
                <w:rFonts w:hint="eastAsia"/>
              </w:rPr>
            </w:pPr>
            <w:r>
              <w:rPr>
                <w:rFonts w:hint="eastAsia"/>
              </w:rPr>
              <w:t>把</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pPr>
            <w:r>
              <w:rPr>
                <w:rFonts w:hint="eastAsia"/>
              </w:rPr>
              <w:t>6.双极连线</w:t>
            </w:r>
          </w:p>
        </w:tc>
        <w:tc>
          <w:tcPr>
            <w:tcW w:w="1610" w:type="dxa"/>
            <w:vAlign w:val="center"/>
          </w:tcPr>
          <w:p>
            <w:pPr>
              <w:jc w:val="center"/>
              <w:rPr>
                <w:rFonts w:hint="eastAsia"/>
              </w:rPr>
            </w:pPr>
            <w:r>
              <w:rPr>
                <w:rFonts w:hint="eastAsia"/>
              </w:rPr>
              <w:t>根</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7.大血管闭合离断刀</w:t>
            </w:r>
          </w:p>
        </w:tc>
        <w:tc>
          <w:tcPr>
            <w:tcW w:w="1610" w:type="dxa"/>
            <w:vAlign w:val="center"/>
          </w:tcPr>
          <w:p>
            <w:pPr>
              <w:jc w:val="center"/>
              <w:rPr>
                <w:rFonts w:hint="eastAsia"/>
              </w:rPr>
            </w:pPr>
            <w:r>
              <w:rPr>
                <w:rFonts w:hint="eastAsia"/>
              </w:rPr>
              <w:t>把</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8.双极电凝电切系统软件</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9.等离子电切系统软件</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10.等离子连接线</w:t>
            </w:r>
          </w:p>
        </w:tc>
        <w:tc>
          <w:tcPr>
            <w:tcW w:w="1610" w:type="dxa"/>
            <w:vAlign w:val="center"/>
          </w:tcPr>
          <w:p>
            <w:pPr>
              <w:jc w:val="center"/>
              <w:rPr>
                <w:rFonts w:hint="eastAsia"/>
              </w:rPr>
            </w:pPr>
            <w:r>
              <w:rPr>
                <w:rFonts w:hint="eastAsia"/>
              </w:rPr>
              <w:t>根</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11.负极板连接线</w:t>
            </w:r>
          </w:p>
        </w:tc>
        <w:tc>
          <w:tcPr>
            <w:tcW w:w="1610" w:type="dxa"/>
            <w:vAlign w:val="center"/>
          </w:tcPr>
          <w:p>
            <w:pPr>
              <w:jc w:val="center"/>
              <w:rPr>
                <w:rFonts w:hint="eastAsia"/>
              </w:rPr>
            </w:pPr>
            <w:r>
              <w:rPr>
                <w:rFonts w:hint="eastAsia"/>
              </w:rPr>
              <w:t>根</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12.台车</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13.负极片</w:t>
            </w:r>
          </w:p>
        </w:tc>
        <w:tc>
          <w:tcPr>
            <w:tcW w:w="1610" w:type="dxa"/>
            <w:vAlign w:val="center"/>
          </w:tcPr>
          <w:p>
            <w:pPr>
              <w:jc w:val="center"/>
              <w:rPr>
                <w:rFonts w:hint="eastAsia"/>
              </w:rPr>
            </w:pPr>
            <w:r>
              <w:rPr>
                <w:rFonts w:hint="eastAsia"/>
              </w:rPr>
              <w:t>片</w:t>
            </w:r>
          </w:p>
        </w:tc>
        <w:tc>
          <w:tcPr>
            <w:tcW w:w="1241" w:type="dxa"/>
            <w:vAlign w:val="center"/>
          </w:tcPr>
          <w:p>
            <w:pPr>
              <w:jc w:val="center"/>
              <w:rPr>
                <w:rFonts w:hint="eastAsia"/>
              </w:rPr>
            </w:pPr>
            <w:r>
              <w:rPr>
                <w:rFonts w:hint="eastAsia"/>
              </w:rPr>
              <w:t>200</w:t>
            </w:r>
          </w:p>
        </w:tc>
      </w:tr>
    </w:tbl>
    <w:p>
      <w:pPr>
        <w:spacing w:line="360" w:lineRule="auto"/>
        <w:ind w:firstLine="480" w:firstLineChars="200"/>
        <w:outlineLvl w:val="9"/>
        <w:rPr>
          <w:rFonts w:ascii="宋体" w:hAnsi="宋体"/>
          <w:b/>
          <w:sz w:val="24"/>
        </w:rPr>
      </w:pPr>
      <w:r>
        <w:rPr>
          <w:rFonts w:hint="eastAsia" w:ascii="宋体" w:hAnsi="宋体"/>
          <w:sz w:val="24"/>
        </w:rPr>
        <w:t xml:space="preserve">3. </w:t>
      </w:r>
      <w:r>
        <w:rPr>
          <w:rFonts w:hint="eastAsia" w:ascii="宋体" w:hAnsi="宋体"/>
          <w:sz w:val="24"/>
          <w:u w:val="single"/>
        </w:rPr>
        <w:t>血液回收仪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1.自体血连续回输系统</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2.血液存储器支架</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3.中文操作说明书</w:t>
            </w:r>
          </w:p>
        </w:tc>
        <w:tc>
          <w:tcPr>
            <w:tcW w:w="1610" w:type="dxa"/>
            <w:vAlign w:val="center"/>
          </w:tcPr>
          <w:p>
            <w:pPr>
              <w:jc w:val="center"/>
              <w:rPr>
                <w:rFonts w:hint="eastAsia"/>
              </w:rPr>
            </w:pPr>
            <w:r>
              <w:rPr>
                <w:rFonts w:hint="eastAsia"/>
              </w:rPr>
              <w:t>本</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4.电源线</w:t>
            </w:r>
          </w:p>
        </w:tc>
        <w:tc>
          <w:tcPr>
            <w:tcW w:w="1610" w:type="dxa"/>
            <w:vAlign w:val="center"/>
          </w:tcPr>
          <w:p>
            <w:pPr>
              <w:jc w:val="center"/>
              <w:rPr>
                <w:rFonts w:hint="eastAsia"/>
              </w:rPr>
            </w:pPr>
            <w:r>
              <w:rPr>
                <w:rFonts w:hint="eastAsia"/>
              </w:rPr>
              <w:t>根</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5.一次性使用吸引管</w:t>
            </w:r>
          </w:p>
        </w:tc>
        <w:tc>
          <w:tcPr>
            <w:tcW w:w="1610" w:type="dxa"/>
            <w:vAlign w:val="center"/>
          </w:tcPr>
          <w:p>
            <w:pPr>
              <w:jc w:val="center"/>
              <w:rPr>
                <w:rFonts w:hint="eastAsia"/>
              </w:rPr>
            </w:pPr>
            <w:r>
              <w:rPr>
                <w:rFonts w:hint="eastAsia"/>
              </w:rPr>
              <w:t>根</w:t>
            </w:r>
          </w:p>
        </w:tc>
        <w:tc>
          <w:tcPr>
            <w:tcW w:w="1241" w:type="dxa"/>
            <w:vAlign w:val="center"/>
          </w:tcPr>
          <w:p>
            <w:pPr>
              <w:jc w:val="cente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6.一次性使用储血罐（带过滤器）</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7.一次性使用自体回输装置</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3</w:t>
            </w:r>
          </w:p>
        </w:tc>
      </w:tr>
    </w:tbl>
    <w:p>
      <w:pPr>
        <w:spacing w:line="360" w:lineRule="auto"/>
        <w:ind w:firstLine="480" w:firstLineChars="200"/>
        <w:outlineLvl w:val="9"/>
        <w:rPr>
          <w:rFonts w:hint="eastAsia" w:ascii="宋体" w:hAnsi="宋体"/>
          <w:b/>
          <w:sz w:val="24"/>
        </w:rPr>
      </w:pPr>
      <w:r>
        <w:rPr>
          <w:rFonts w:hint="eastAsia" w:ascii="宋体" w:hAnsi="宋体"/>
          <w:sz w:val="24"/>
        </w:rPr>
        <w:t xml:space="preserve">4. </w:t>
      </w:r>
      <w:r>
        <w:rPr>
          <w:rFonts w:hint="eastAsia" w:ascii="宋体" w:hAnsi="宋体"/>
          <w:sz w:val="24"/>
          <w:u w:val="single"/>
        </w:rPr>
        <w:t>新生儿保暖箱（每台）</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jc w:val="left"/>
              <w:rPr>
                <w:rFonts w:hint="eastAsia"/>
              </w:rPr>
            </w:pPr>
            <w:r>
              <w:rPr>
                <w:rFonts w:hint="eastAsia"/>
              </w:rPr>
              <w:t xml:space="preserve">1. </w:t>
            </w:r>
            <w:r>
              <w:rPr>
                <w:rFonts w:hint="eastAsia"/>
                <w:szCs w:val="20"/>
              </w:rPr>
              <w:t>主机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5"/>
              </w:numPr>
              <w:jc w:val="left"/>
              <w:rPr>
                <w:rFonts w:hint="eastAsia"/>
              </w:rPr>
            </w:pPr>
            <w:r>
              <w:rPr>
                <w:rFonts w:hint="eastAsia"/>
                <w:szCs w:val="20"/>
              </w:rPr>
              <w:t>体温探头/体表/儿童/新生儿</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6"/>
              </w:numPr>
              <w:jc w:val="left"/>
              <w:rPr>
                <w:rFonts w:hint="eastAsia"/>
              </w:rPr>
            </w:pPr>
            <w:r>
              <w:rPr>
                <w:rFonts w:hint="eastAsia"/>
                <w:szCs w:val="20"/>
              </w:rPr>
              <w:t>蓝光治疗仪</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6"/>
              </w:numPr>
              <w:jc w:val="left"/>
              <w:rPr>
                <w:rFonts w:hint="eastAsia"/>
              </w:rPr>
            </w:pPr>
            <w:r>
              <w:rPr>
                <w:rFonts w:hint="eastAsia"/>
                <w:szCs w:val="20"/>
              </w:rPr>
              <w:t>国标电源线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6"/>
              </w:numPr>
              <w:jc w:val="left"/>
              <w:rPr>
                <w:rFonts w:hint="eastAsia"/>
              </w:rPr>
            </w:pPr>
            <w:r>
              <w:rPr>
                <w:rFonts w:hint="eastAsia"/>
                <w:szCs w:val="20"/>
              </w:rPr>
              <w:t>过滤棉</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7"/>
              </w:numPr>
              <w:jc w:val="left"/>
              <w:rPr>
                <w:rFonts w:hint="eastAsia"/>
              </w:rPr>
            </w:pPr>
            <w:r>
              <w:rPr>
                <w:rFonts w:hint="eastAsia"/>
              </w:rPr>
              <w:t>操作手册说明书</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653" w:type="dxa"/>
            <w:vAlign w:val="center"/>
          </w:tcPr>
          <w:p>
            <w:pPr>
              <w:numPr>
                <w:ilvl w:val="0"/>
                <w:numId w:val="17"/>
              </w:numPr>
              <w:jc w:val="left"/>
              <w:rPr>
                <w:rFonts w:hint="eastAsia"/>
              </w:rPr>
            </w:pPr>
            <w:r>
              <w:rPr>
                <w:rFonts w:hint="eastAsia"/>
                <w:szCs w:val="20"/>
              </w:rPr>
              <w:t>保修卡</w:t>
            </w:r>
          </w:p>
        </w:tc>
        <w:tc>
          <w:tcPr>
            <w:tcW w:w="1610" w:type="dxa"/>
            <w:vAlign w:val="center"/>
          </w:tcPr>
          <w:p>
            <w:pPr>
              <w:jc w:val="center"/>
              <w:rPr>
                <w:rFonts w:hint="eastAsia"/>
              </w:rPr>
            </w:pPr>
            <w:r>
              <w:rPr>
                <w:rFonts w:hint="eastAsia"/>
              </w:rPr>
              <w:t>份</w:t>
            </w:r>
          </w:p>
        </w:tc>
        <w:tc>
          <w:tcPr>
            <w:tcW w:w="1241" w:type="dxa"/>
            <w:vAlign w:val="center"/>
          </w:tcPr>
          <w:p>
            <w:pPr>
              <w:jc w:val="center"/>
              <w:rPr>
                <w:rFonts w:hint="eastAsia"/>
              </w:rPr>
            </w:pPr>
            <w:r>
              <w:rPr>
                <w:rFonts w:hint="eastAsia"/>
              </w:rPr>
              <w:t>1</w:t>
            </w:r>
          </w:p>
        </w:tc>
      </w:tr>
    </w:tbl>
    <w:p>
      <w:pPr>
        <w:spacing w:line="360" w:lineRule="auto"/>
        <w:ind w:firstLine="480" w:firstLineChars="200"/>
        <w:outlineLvl w:val="9"/>
        <w:rPr>
          <w:rFonts w:hint="eastAsia" w:ascii="宋体" w:hAnsi="宋体" w:eastAsia="宋体"/>
          <w:sz w:val="24"/>
          <w:lang w:val="en-US" w:eastAsia="zh-CN"/>
        </w:rPr>
      </w:pPr>
      <w:r>
        <w:rPr>
          <w:rFonts w:hint="eastAsia" w:ascii="宋体" w:hAnsi="宋体"/>
          <w:sz w:val="24"/>
        </w:rPr>
        <w:t xml:space="preserve">5. </w:t>
      </w:r>
      <w:r>
        <w:rPr>
          <w:rFonts w:hint="eastAsia" w:ascii="宋体" w:hAnsi="宋体"/>
          <w:sz w:val="24"/>
          <w:u w:val="single"/>
        </w:rPr>
        <w:t>新生儿亚低温治疗仪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1.医用高—低温体温控制系统主机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2.温度传感器</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3.聚氨酯水毯 （婴儿）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4.耐用无纺水毯 （婴儿）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5.耐用无纺水帽（婴儿）</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6.耐用无纺水毯连接管</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6. </w:t>
      </w:r>
      <w:r>
        <w:rPr>
          <w:rFonts w:hint="eastAsia" w:ascii="宋体" w:hAnsi="宋体"/>
          <w:sz w:val="24"/>
          <w:u w:val="single"/>
        </w:rPr>
        <w:t>亚低温治疗仪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1.医用高—低温体温控制系统主机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2.温度传感器</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3.聚氨酯水毯 （儿童）</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4.聚氨酯水毯（成人）</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5.耐用无纺水毯连接管</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7. </w:t>
      </w:r>
      <w:r>
        <w:rPr>
          <w:rFonts w:hint="eastAsia" w:ascii="宋体" w:hAnsi="宋体"/>
          <w:sz w:val="24"/>
          <w:u w:val="single"/>
        </w:rPr>
        <w:t>盆底神经肌肉刺激治疗仪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3"/>
        <w:gridCol w:w="161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center"/>
            </w:pPr>
            <w:r>
              <w:rPr>
                <w:rFonts w:hint="eastAsia"/>
              </w:rPr>
              <w:t>名  称</w:t>
            </w:r>
          </w:p>
        </w:tc>
        <w:tc>
          <w:tcPr>
            <w:tcW w:w="1610" w:type="dxa"/>
            <w:vAlign w:val="center"/>
          </w:tcPr>
          <w:p>
            <w:pPr>
              <w:jc w:val="center"/>
              <w:rPr>
                <w:rFonts w:hint="eastAsia"/>
              </w:rPr>
            </w:pPr>
            <w:r>
              <w:rPr>
                <w:rFonts w:hint="eastAsia"/>
              </w:rPr>
              <w:t>单位</w:t>
            </w:r>
          </w:p>
        </w:tc>
        <w:tc>
          <w:tcPr>
            <w:tcW w:w="124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1.治疗仪主机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2.软件包</w:t>
            </w:r>
          </w:p>
        </w:tc>
        <w:tc>
          <w:tcPr>
            <w:tcW w:w="1610" w:type="dxa"/>
            <w:vAlign w:val="center"/>
          </w:tcPr>
          <w:p>
            <w:pPr>
              <w:jc w:val="center"/>
              <w:rPr>
                <w:rFonts w:hint="eastAsia"/>
              </w:rPr>
            </w:pPr>
            <w:r>
              <w:rPr>
                <w:rFonts w:hint="eastAsia"/>
              </w:rPr>
              <w:t>套</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3.电源转换器</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4.电源连接线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5.治疗头连接线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6.盆底肌肉治疗头</w:t>
            </w:r>
          </w:p>
        </w:tc>
        <w:tc>
          <w:tcPr>
            <w:tcW w:w="1610" w:type="dxa"/>
            <w:vAlign w:val="center"/>
          </w:tcPr>
          <w:p>
            <w:pPr>
              <w:jc w:val="center"/>
              <w:rPr>
                <w:rFonts w:hint="eastAsia"/>
              </w:rPr>
            </w:pPr>
            <w:r>
              <w:rPr>
                <w:rFonts w:hint="eastAsia"/>
              </w:rPr>
              <w:t>盒</w:t>
            </w:r>
          </w:p>
        </w:tc>
        <w:tc>
          <w:tcPr>
            <w:tcW w:w="1241" w:type="dxa"/>
            <w:vAlign w:val="center"/>
          </w:tcPr>
          <w:p>
            <w:pPr>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7.输出端口导联线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8.电极片</w:t>
            </w:r>
          </w:p>
        </w:tc>
        <w:tc>
          <w:tcPr>
            <w:tcW w:w="1610" w:type="dxa"/>
            <w:vAlign w:val="center"/>
          </w:tcPr>
          <w:p>
            <w:pPr>
              <w:jc w:val="center"/>
              <w:rPr>
                <w:rFonts w:hint="eastAsia"/>
              </w:rPr>
            </w:pPr>
            <w:r>
              <w:rPr>
                <w:rFonts w:hint="eastAsia"/>
              </w:rPr>
              <w:t>袋</w:t>
            </w:r>
          </w:p>
        </w:tc>
        <w:tc>
          <w:tcPr>
            <w:tcW w:w="1241" w:type="dxa"/>
            <w:vAlign w:val="center"/>
          </w:tcPr>
          <w:p>
            <w:pPr>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9.USB连接线</w:t>
            </w:r>
          </w:p>
        </w:tc>
        <w:tc>
          <w:tcPr>
            <w:tcW w:w="1610" w:type="dxa"/>
            <w:vAlign w:val="center"/>
          </w:tcPr>
          <w:p>
            <w:pPr>
              <w:jc w:val="center"/>
              <w:rPr>
                <w:rFonts w:hint="eastAsia"/>
              </w:rPr>
            </w:pPr>
            <w:r>
              <w:rPr>
                <w:rFonts w:hint="eastAsia"/>
              </w:rPr>
              <w:t>条</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10.治疗仪使用手册</w:t>
            </w:r>
          </w:p>
        </w:tc>
        <w:tc>
          <w:tcPr>
            <w:tcW w:w="1610" w:type="dxa"/>
            <w:vAlign w:val="center"/>
          </w:tcPr>
          <w:p>
            <w:pPr>
              <w:jc w:val="center"/>
              <w:rPr>
                <w:rFonts w:hint="eastAsia"/>
              </w:rPr>
            </w:pPr>
            <w:r>
              <w:rPr>
                <w:rFonts w:hint="eastAsia"/>
              </w:rPr>
              <w:t>本</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11.计算机</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12.显示器</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13.移动小车</w:t>
            </w:r>
          </w:p>
        </w:tc>
        <w:tc>
          <w:tcPr>
            <w:tcW w:w="1610" w:type="dxa"/>
            <w:vAlign w:val="center"/>
          </w:tcPr>
          <w:p>
            <w:pPr>
              <w:jc w:val="center"/>
              <w:rPr>
                <w:rFonts w:hint="eastAsia"/>
              </w:rPr>
            </w:pPr>
            <w:r>
              <w:rPr>
                <w:rFonts w:hint="eastAsia"/>
              </w:rPr>
              <w:t>台</w:t>
            </w:r>
          </w:p>
        </w:tc>
        <w:tc>
          <w:tcPr>
            <w:tcW w:w="124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53" w:type="dxa"/>
            <w:vAlign w:val="center"/>
          </w:tcPr>
          <w:p>
            <w:pPr>
              <w:jc w:val="left"/>
              <w:rPr>
                <w:rFonts w:hint="eastAsia"/>
              </w:rPr>
            </w:pPr>
            <w:r>
              <w:rPr>
                <w:rFonts w:hint="eastAsia"/>
              </w:rPr>
              <w:t>14.插线板</w:t>
            </w:r>
          </w:p>
        </w:tc>
        <w:tc>
          <w:tcPr>
            <w:tcW w:w="1610" w:type="dxa"/>
            <w:vAlign w:val="center"/>
          </w:tcPr>
          <w:p>
            <w:pPr>
              <w:jc w:val="center"/>
              <w:rPr>
                <w:rFonts w:hint="eastAsia"/>
              </w:rPr>
            </w:pPr>
            <w:r>
              <w:rPr>
                <w:rFonts w:hint="eastAsia"/>
              </w:rPr>
              <w:t>个</w:t>
            </w:r>
          </w:p>
        </w:tc>
        <w:tc>
          <w:tcPr>
            <w:tcW w:w="1241" w:type="dxa"/>
            <w:vAlign w:val="center"/>
          </w:tcPr>
          <w:p>
            <w:pPr>
              <w:jc w:val="center"/>
              <w:rPr>
                <w:rFonts w:hint="eastAsia"/>
              </w:rPr>
            </w:pPr>
            <w:r>
              <w:rPr>
                <w:rFonts w:hint="eastAsia"/>
              </w:rPr>
              <w:t>1</w:t>
            </w:r>
          </w:p>
        </w:tc>
      </w:tr>
    </w:tbl>
    <w:p>
      <w:pPr>
        <w:rPr>
          <w:rFonts w:ascii="宋体" w:hAnsi="宋体"/>
          <w:b/>
          <w:color w:val="FF0000"/>
          <w:szCs w:val="21"/>
        </w:rPr>
      </w:pPr>
    </w:p>
    <w:p>
      <w:pPr>
        <w:pStyle w:val="5"/>
        <w:spacing w:before="120" w:beforeLines="50" w:after="120" w:afterLines="50"/>
        <w:rPr>
          <w:sz w:val="28"/>
          <w:szCs w:val="28"/>
        </w:rPr>
      </w:pPr>
      <w:bookmarkStart w:id="41" w:name="_Toc128884461"/>
      <w:r>
        <w:rPr>
          <w:rFonts w:hint="eastAsia"/>
          <w:sz w:val="28"/>
          <w:szCs w:val="28"/>
          <w:lang w:val="en-US" w:eastAsia="zh-CN"/>
        </w:rPr>
        <w:t>四</w:t>
      </w:r>
      <w:r>
        <w:rPr>
          <w:rFonts w:hint="eastAsia"/>
          <w:sz w:val="28"/>
          <w:szCs w:val="28"/>
        </w:rPr>
        <w:t>、实质性条款</w:t>
      </w:r>
    </w:p>
    <w:tbl>
      <w:tblPr>
        <w:tblStyle w:val="4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7483"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ascii="宋体" w:hAnsi="宋体" w:cs="宋体"/>
                <w:kern w:val="0"/>
                <w:szCs w:val="21"/>
              </w:rPr>
              <w:t>1</w:t>
            </w:r>
          </w:p>
        </w:tc>
        <w:tc>
          <w:tcPr>
            <w:tcW w:w="7483" w:type="dxa"/>
            <w:vAlign w:val="top"/>
          </w:tcPr>
          <w:p>
            <w:pPr>
              <w:widowControl/>
              <w:jc w:val="left"/>
              <w:rPr>
                <w:rFonts w:hAnsi="宋体"/>
                <w:kern w:val="0"/>
                <w:szCs w:val="21"/>
              </w:rPr>
            </w:pPr>
            <w:r>
              <w:rPr>
                <w:rFonts w:ascii="宋体" w:hAnsi="宋体" w:cs="宋体"/>
                <w:kern w:val="0"/>
                <w:szCs w:val="21"/>
              </w:rPr>
              <w:t>各投标人应在投标文件中列明各主机、配件和易耗品的保修期限，并承诺提供</w:t>
            </w:r>
            <w:r>
              <w:rPr>
                <w:rFonts w:hint="eastAsia" w:ascii="宋体" w:hAnsi="宋体"/>
                <w:szCs w:val="21"/>
              </w:rPr>
              <w:t>超声切割止血系统、电外科能量平台（高频电外科手术系统）</w:t>
            </w:r>
            <w:r>
              <w:rPr>
                <w:rFonts w:ascii="宋体" w:hAnsi="宋体" w:cs="宋体"/>
                <w:kern w:val="0"/>
                <w:szCs w:val="21"/>
              </w:rPr>
              <w:t>主机及配件</w:t>
            </w:r>
            <w:r>
              <w:rPr>
                <w:rFonts w:hint="eastAsia" w:ascii="宋体" w:hAnsi="宋体" w:cs="宋体"/>
                <w:kern w:val="0"/>
                <w:szCs w:val="21"/>
              </w:rPr>
              <w:t>原厂</w:t>
            </w:r>
            <w:r>
              <w:rPr>
                <w:rFonts w:ascii="宋体" w:hAnsi="宋体" w:cs="宋体"/>
                <w:kern w:val="0"/>
                <w:szCs w:val="21"/>
              </w:rPr>
              <w:t>免费保修期≥</w:t>
            </w:r>
            <w:r>
              <w:rPr>
                <w:rFonts w:ascii="宋体" w:hAnsi="宋体" w:cs="宋体"/>
                <w:kern w:val="0"/>
                <w:szCs w:val="21"/>
                <w:u w:val="single"/>
              </w:rPr>
              <w:t xml:space="preserve">  </w:t>
            </w:r>
            <w:r>
              <w:rPr>
                <w:rFonts w:hint="eastAsia" w:ascii="宋体" w:hAnsi="宋体" w:cs="宋体"/>
                <w:kern w:val="0"/>
                <w:szCs w:val="21"/>
                <w:u w:val="single"/>
              </w:rPr>
              <w:t>5</w:t>
            </w:r>
            <w:r>
              <w:rPr>
                <w:rFonts w:ascii="宋体" w:hAnsi="宋体" w:cs="宋体"/>
                <w:kern w:val="0"/>
                <w:szCs w:val="21"/>
                <w:u w:val="single"/>
              </w:rPr>
              <w:t xml:space="preserve">  </w:t>
            </w:r>
            <w:r>
              <w:rPr>
                <w:rFonts w:ascii="宋体" w:hAnsi="宋体" w:cs="宋体"/>
                <w:kern w:val="0"/>
                <w:szCs w:val="21"/>
              </w:rPr>
              <w:t>年</w:t>
            </w:r>
            <w:r>
              <w:rPr>
                <w:rFonts w:hint="eastAsia" w:ascii="宋体" w:hAnsi="宋体" w:cs="宋体"/>
                <w:kern w:val="0"/>
                <w:szCs w:val="21"/>
              </w:rPr>
              <w:t>，其余设备主机</w:t>
            </w:r>
            <w:r>
              <w:rPr>
                <w:rFonts w:hint="eastAsia" w:ascii="宋体" w:hAnsi="宋体"/>
                <w:kern w:val="0"/>
                <w:szCs w:val="21"/>
              </w:rPr>
              <w:t>及配件原厂免费保修期≥</w:t>
            </w:r>
            <w:r>
              <w:rPr>
                <w:rFonts w:hint="eastAsia" w:ascii="宋体" w:hAnsi="宋体"/>
                <w:bCs/>
                <w:kern w:val="0"/>
                <w:szCs w:val="21"/>
                <w:u w:val="single"/>
              </w:rPr>
              <w:t xml:space="preserve">  3  </w:t>
            </w:r>
            <w:r>
              <w:rPr>
                <w:rFonts w:hint="eastAsia" w:ascii="宋体" w:hAnsi="宋体"/>
                <w:kern w:val="0"/>
                <w:szCs w:val="21"/>
              </w:rPr>
              <w:t>年</w:t>
            </w:r>
            <w:r>
              <w:rPr>
                <w:rFonts w:hint="eastAsia" w:ascii="宋体" w:hAnsi="宋体" w:cs="宋体"/>
                <w:kern w:val="0"/>
                <w:szCs w:val="21"/>
              </w:rPr>
              <w:t>。</w:t>
            </w:r>
            <w:r>
              <w:rPr>
                <w:rFonts w:ascii="宋体" w:hAnsi="宋体" w:cs="宋体"/>
                <w:kern w:val="0"/>
                <w:szCs w:val="21"/>
              </w:rPr>
              <w:t>保修期以验收合格，双方代表签署“性能验收报告”之日起计算。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hint="eastAsia" w:ascii="宋体" w:hAnsi="宋体" w:cs="宋体"/>
                <w:kern w:val="0"/>
                <w:szCs w:val="21"/>
                <w:lang w:val="en-US" w:eastAsia="zh-CN"/>
              </w:rPr>
              <w:t>2</w:t>
            </w:r>
          </w:p>
        </w:tc>
        <w:tc>
          <w:tcPr>
            <w:tcW w:w="7483" w:type="dxa"/>
            <w:vAlign w:val="top"/>
          </w:tcPr>
          <w:p>
            <w:pPr>
              <w:widowControl/>
              <w:jc w:val="left"/>
              <w:rPr>
                <w:rFonts w:hAnsi="宋体"/>
                <w:kern w:val="0"/>
                <w:szCs w:val="21"/>
              </w:rPr>
            </w:pPr>
            <w:r>
              <w:rPr>
                <w:rFonts w:hint="eastAsia" w:ascii="宋体" w:hAnsi="宋体" w:eastAsia="宋体" w:cs="宋体"/>
                <w:szCs w:val="21"/>
              </w:rPr>
              <w:t>投标人所投产品</w:t>
            </w:r>
            <w:r>
              <w:rPr>
                <w:rFonts w:hint="eastAsia" w:ascii="宋体" w:hAnsi="宋体" w:eastAsia="宋体" w:cs="宋体"/>
                <w:szCs w:val="21"/>
                <w:lang w:eastAsia="zh-CN"/>
              </w:rPr>
              <w:t>均</w:t>
            </w:r>
            <w:r>
              <w:rPr>
                <w:rFonts w:hint="eastAsia" w:ascii="宋体" w:hAnsi="宋体" w:eastAsia="宋体" w:cs="宋体"/>
                <w:szCs w:val="21"/>
              </w:rPr>
              <w:t>为医疗器械，必须提供医疗器械注册证书（或者备案凭证），原件备查。开标时，该证应在有效期内，若不在有效期内，则需提供该证和所投产品在该证有效期内生产的药监局出具的证明文件。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hint="eastAsia" w:ascii="宋体" w:hAnsi="宋体" w:cs="宋体"/>
                <w:kern w:val="0"/>
                <w:szCs w:val="21"/>
                <w:lang w:val="en-US" w:eastAsia="zh-CN"/>
              </w:rPr>
              <w:t>3</w:t>
            </w:r>
          </w:p>
        </w:tc>
        <w:tc>
          <w:tcPr>
            <w:tcW w:w="7483" w:type="dxa"/>
            <w:vAlign w:val="top"/>
          </w:tcPr>
          <w:p>
            <w:pPr>
              <w:widowControl/>
              <w:jc w:val="left"/>
              <w:rPr>
                <w:rFonts w:hAnsi="宋体"/>
                <w:kern w:val="0"/>
                <w:szCs w:val="21"/>
              </w:rPr>
            </w:pPr>
            <w:r>
              <w:rPr>
                <w:rFonts w:hint="eastAsia" w:ascii="宋体" w:hAnsi="宋体" w:eastAsia="宋体" w:cs="宋体"/>
                <w:szCs w:val="21"/>
              </w:rPr>
              <w:t>投标人所投产品</w:t>
            </w:r>
            <w:r>
              <w:rPr>
                <w:rFonts w:hint="eastAsia" w:ascii="宋体" w:hAnsi="宋体" w:eastAsia="宋体" w:cs="宋体"/>
                <w:szCs w:val="21"/>
                <w:lang w:eastAsia="zh-CN"/>
              </w:rPr>
              <w:t>均</w:t>
            </w:r>
            <w:r>
              <w:rPr>
                <w:rFonts w:hint="eastAsia" w:ascii="宋体" w:hAnsi="宋体" w:eastAsia="宋体" w:cs="宋体"/>
                <w:szCs w:val="21"/>
              </w:rPr>
              <w:t>为医疗器械，必须提供医疗器械生产企业许可证（投标人为所投产品的生产企业时），或者医疗器械经营企业许可证（投标人为所投产品的代理商或授权供应商时）。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hint="eastAsia" w:ascii="宋体" w:hAnsi="宋体"/>
                <w:kern w:val="0"/>
                <w:szCs w:val="21"/>
              </w:rPr>
            </w:pPr>
            <w:r>
              <w:rPr>
                <w:rFonts w:hint="eastAsia" w:ascii="宋体" w:hAnsi="宋体" w:cs="宋体"/>
                <w:kern w:val="0"/>
                <w:szCs w:val="21"/>
                <w:lang w:val="en-US" w:eastAsia="zh-CN"/>
              </w:rPr>
              <w:t>4</w:t>
            </w:r>
          </w:p>
        </w:tc>
        <w:tc>
          <w:tcPr>
            <w:tcW w:w="7483" w:type="dxa"/>
            <w:vAlign w:val="top"/>
          </w:tcPr>
          <w:p>
            <w:pPr>
              <w:widowControl/>
              <w:jc w:val="left"/>
              <w:rPr>
                <w:rFonts w:hint="eastAsia" w:ascii="宋体" w:hAnsi="宋体"/>
                <w:kern w:val="0"/>
                <w:szCs w:val="21"/>
              </w:rPr>
            </w:pPr>
            <w:r>
              <w:rPr>
                <w:rFonts w:hint="eastAsia" w:ascii="宋体" w:hAnsi="宋体"/>
                <w:bCs/>
                <w:kern w:val="0"/>
                <w:szCs w:val="21"/>
              </w:rPr>
              <w:t>投标人在签订合同之日起</w:t>
            </w:r>
            <w:r>
              <w:rPr>
                <w:rFonts w:hint="eastAsia" w:ascii="宋体" w:hAnsi="宋体"/>
                <w:bCs/>
                <w:kern w:val="0"/>
                <w:szCs w:val="21"/>
                <w:u w:val="single"/>
              </w:rPr>
              <w:t xml:space="preserve">  30  </w:t>
            </w:r>
            <w:r>
              <w:rPr>
                <w:rFonts w:hint="eastAsia" w:ascii="宋体" w:hAnsi="宋体"/>
                <w:bCs/>
                <w:kern w:val="0"/>
                <w:szCs w:val="21"/>
              </w:rPr>
              <w:t>天（日历日）内交货。</w:t>
            </w:r>
          </w:p>
        </w:tc>
      </w:tr>
    </w:tbl>
    <w:p>
      <w:pPr>
        <w:outlineLvl w:val="9"/>
        <w:rPr>
          <w:rFonts w:ascii="黑体"/>
          <w:b w:val="0"/>
          <w:kern w:val="0"/>
          <w:sz w:val="24"/>
          <w:szCs w:val="24"/>
        </w:rPr>
      </w:pPr>
      <w:r>
        <w:rPr>
          <w:rFonts w:hint="eastAsia" w:ascii="黑体"/>
          <w:b w:val="0"/>
          <w:kern w:val="0"/>
          <w:sz w:val="24"/>
          <w:szCs w:val="24"/>
        </w:rPr>
        <w:t>注：上表所列内容为不可负偏离条款</w:t>
      </w:r>
      <w:bookmarkEnd w:id="41"/>
      <w:r>
        <w:rPr>
          <w:rFonts w:hint="eastAsia" w:ascii="黑体"/>
          <w:b w:val="0"/>
          <w:kern w:val="0"/>
          <w:sz w:val="24"/>
          <w:szCs w:val="24"/>
        </w:rPr>
        <w:t>，负偏离将视为未实质性满足招标文件要求作投标无效处理。</w:t>
      </w:r>
    </w:p>
    <w:p>
      <w:pPr>
        <w:rPr>
          <w:b/>
          <w:szCs w:val="21"/>
        </w:rPr>
      </w:pPr>
    </w:p>
    <w:p>
      <w:pPr>
        <w:pStyle w:val="5"/>
        <w:spacing w:before="120" w:beforeLines="50" w:after="120" w:afterLines="50"/>
        <w:rPr>
          <w:sz w:val="28"/>
          <w:szCs w:val="28"/>
        </w:rPr>
      </w:pPr>
      <w:r>
        <w:rPr>
          <w:rFonts w:hint="eastAsia"/>
          <w:sz w:val="28"/>
          <w:szCs w:val="28"/>
          <w:lang w:val="en-US" w:eastAsia="zh-CN"/>
        </w:rPr>
        <w:t>五</w:t>
      </w:r>
      <w:r>
        <w:rPr>
          <w:rFonts w:hint="eastAsia"/>
          <w:sz w:val="28"/>
          <w:szCs w:val="28"/>
        </w:rPr>
        <w:t>、技术要求</w:t>
      </w:r>
    </w:p>
    <w:p>
      <w:pPr>
        <w:ind w:firstLine="422" w:firstLineChars="200"/>
        <w:rPr>
          <w:b/>
        </w:rPr>
      </w:pPr>
      <w:r>
        <w:rPr>
          <w:rFonts w:hint="eastAsia"/>
          <w:b/>
          <w:szCs w:val="21"/>
        </w:rPr>
        <w:t>说明：</w:t>
      </w:r>
      <w:r>
        <w:rPr>
          <w:b/>
          <w:szCs w:val="21"/>
        </w:rPr>
        <w:t xml:space="preserve"> </w:t>
      </w:r>
      <w:r>
        <w:rPr>
          <w:b/>
        </w:rPr>
        <w:t>1</w:t>
      </w:r>
      <w:r>
        <w:rPr>
          <w:rFonts w:hint="eastAsia"/>
          <w:b/>
        </w:rPr>
        <w:t>、评分时，如对一项招标技术要求（以划分框为准）中的内容存在两处（或以上）负偏离的，在评分时只作一项负偏离扣分。</w:t>
      </w:r>
    </w:p>
    <w:p>
      <w:pPr>
        <w:ind w:firstLine="422" w:firstLineChars="200"/>
        <w:rPr>
          <w:b/>
          <w:szCs w:val="21"/>
        </w:rPr>
      </w:pPr>
      <w:r>
        <w:rPr>
          <w:b/>
          <w:szCs w:val="21"/>
        </w:rPr>
        <w:t>2</w:t>
      </w:r>
      <w:r>
        <w:rPr>
          <w:rFonts w:hint="eastAsia"/>
          <w:b/>
          <w:szCs w:val="21"/>
        </w:rPr>
        <w:t>、带“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”指标项为重要参数条款，负偏离时依相关评分准则内容作重点扣分处理。</w:t>
      </w:r>
    </w:p>
    <w:p>
      <w:pPr>
        <w:ind w:firstLine="422" w:firstLineChars="200"/>
        <w:rPr>
          <w:rFonts w:hint="eastAsia"/>
          <w:b/>
          <w:szCs w:val="21"/>
        </w:rPr>
      </w:pPr>
      <w:r>
        <w:rPr>
          <w:b/>
          <w:szCs w:val="21"/>
        </w:rPr>
        <w:t>3</w:t>
      </w:r>
      <w:r>
        <w:rPr>
          <w:rFonts w:hint="eastAsia"/>
          <w:b/>
          <w:szCs w:val="21"/>
        </w:rPr>
        <w:t>、</w:t>
      </w:r>
      <w:bookmarkStart w:id="42" w:name="_Hlk72585069"/>
      <w:r>
        <w:rPr>
          <w:rFonts w:hint="eastAsia"/>
          <w:b/>
          <w:szCs w:val="21"/>
        </w:rPr>
        <w:t>招标技术要求中，用红色加粗字体标注的指标项均要求提供证明资料；其余指标项未要求提供证明资料，无需提供相关证明资料。</w:t>
      </w:r>
    </w:p>
    <w:p>
      <w:pPr>
        <w:pStyle w:val="2"/>
        <w:ind w:firstLine="211" w:firstLineChars="100"/>
        <w:rPr>
          <w:rFonts w:hint="eastAsia" w:eastAsia="宋体"/>
          <w:bCs w:val="0"/>
          <w:sz w:val="21"/>
          <w:szCs w:val="21"/>
          <w:lang w:val="en-US" w:eastAsia="zh-CN"/>
        </w:rPr>
      </w:pPr>
      <w:r>
        <w:rPr>
          <w:rFonts w:hint="eastAsia"/>
          <w:b/>
          <w:bCs w:val="0"/>
          <w:sz w:val="21"/>
          <w:szCs w:val="21"/>
          <w:lang w:val="en-US" w:eastAsia="zh-CN"/>
        </w:rPr>
        <w:t>4.</w:t>
      </w:r>
      <w:r>
        <w:rPr>
          <w:rFonts w:hint="eastAsia" w:ascii="Times New Roman" w:hAnsi="Times New Roman"/>
          <w:b/>
          <w:bCs w:val="0"/>
          <w:sz w:val="21"/>
          <w:szCs w:val="21"/>
        </w:rPr>
        <w:t>投标人应如实填写《技术规格偏离表》，标红加粗参数需要提供相关证明材料，并在投标文件中作出明显标识（标页或者划线）。投标人提供证书、检验检测报告的同时需提供</w:t>
      </w:r>
      <w:r>
        <w:rPr>
          <w:rFonts w:hint="eastAsia"/>
          <w:b/>
          <w:bCs w:val="0"/>
          <w:sz w:val="21"/>
          <w:szCs w:val="21"/>
        </w:rPr>
        <w:t>证书官网、检验检测机构官网或权威机构（如“中国社会组织公共服务平台”“中国国家认证认可监督管理委员会”等）等合法查询渠道的查询记录，原件备查。相关证书或者检验检测报告在公开渠道无法查询的，需要求提供颁发部门、检验检测机构或者监管机构的证明材料，证明证书或检验检测报告真实有效且为合法机构颁发。</w:t>
      </w:r>
      <w:r>
        <w:rPr>
          <w:rFonts w:hint="eastAsia" w:ascii="Times New Roman" w:hAnsi="Times New Roman"/>
          <w:b/>
          <w:bCs w:val="0"/>
          <w:sz w:val="21"/>
          <w:szCs w:val="21"/>
        </w:rPr>
        <w:t>未提供或未按要求提供相关证明材料的，则认为对应参数负偏离。</w:t>
      </w:r>
    </w:p>
    <w:bookmarkEnd w:id="42"/>
    <w:p>
      <w:pPr>
        <w:spacing w:after="62" w:afterLines="20" w:line="360" w:lineRule="auto"/>
        <w:ind w:left="567"/>
        <w:rPr>
          <w:rFonts w:hint="eastAsia" w:ascii="宋体" w:hAnsi="宋体" w:cs="Arial"/>
          <w:b/>
          <w:sz w:val="24"/>
        </w:rPr>
      </w:pPr>
      <w:r>
        <w:rPr>
          <w:rFonts w:hint="eastAsia" w:ascii="宋体" w:hAnsi="宋体" w:cs="Arial"/>
          <w:bCs/>
          <w:sz w:val="24"/>
        </w:rPr>
        <w:t xml:space="preserve">1. </w:t>
      </w:r>
      <w:r>
        <w:rPr>
          <w:rFonts w:hint="eastAsia" w:ascii="宋体" w:hAnsi="宋体"/>
          <w:bCs/>
          <w:sz w:val="24"/>
          <w:u w:val="single"/>
        </w:rPr>
        <w:t>超声切割止血系统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rPr>
            </w:pPr>
            <w:r>
              <w:rPr>
                <w:rFonts w:hint="eastAsia"/>
              </w:rPr>
              <w:t>序号</w:t>
            </w:r>
          </w:p>
        </w:tc>
        <w:tc>
          <w:tcPr>
            <w:tcW w:w="7414" w:type="dxa"/>
            <w:vAlign w:val="center"/>
          </w:tcPr>
          <w:p>
            <w:pPr>
              <w:jc w:val="center"/>
              <w:rPr>
                <w:rFonts w:hint="eastAsia"/>
              </w:rP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rPr>
            </w:pPr>
            <w:r>
              <w:rPr>
                <w:rFonts w:hint="eastAsia"/>
                <w:b/>
                <w:bCs/>
              </w:rPr>
              <w:t>1</w:t>
            </w:r>
          </w:p>
        </w:tc>
        <w:tc>
          <w:tcPr>
            <w:tcW w:w="7414" w:type="dxa"/>
            <w:vAlign w:val="center"/>
          </w:tcPr>
          <w:p>
            <w:pPr>
              <w:rPr>
                <w:rFonts w:hint="eastAsia"/>
                <w:b/>
                <w:bCs/>
              </w:rPr>
            </w:pPr>
            <w:r>
              <w:rPr>
                <w:rFonts w:ascii="Times New Roman" w:hAnsi="Times New Roman"/>
                <w:kern w:val="0"/>
                <w:szCs w:val="21"/>
              </w:rPr>
              <w:t>磁性通用器械接口，可自动识别仪器并显示器械类</w:t>
            </w:r>
            <w:r>
              <w:rPr>
                <w:rFonts w:ascii="Times New Roman" w:hAnsi="Times New Roman" w:eastAsia="宋体" w:cs="Times New Roman"/>
                <w:kern w:val="0"/>
                <w:szCs w:val="21"/>
              </w:rPr>
              <w:t>型</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 w:val="21"/>
                <w:szCs w:val="21"/>
              </w:rPr>
              <w:t>无需借助任何外部设备或者软件</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rPr>
            </w:pPr>
            <w:r>
              <w:rPr>
                <w:rFonts w:hint="eastAsia"/>
                <w:b/>
                <w:bCs/>
              </w:rPr>
              <w:t>▲2</w:t>
            </w:r>
          </w:p>
        </w:tc>
        <w:tc>
          <w:tcPr>
            <w:tcW w:w="7414" w:type="dxa"/>
            <w:vAlign w:val="center"/>
          </w:tcPr>
          <w:p>
            <w:pPr>
              <w:rPr>
                <w:rFonts w:hint="eastAsia"/>
              </w:rPr>
            </w:pPr>
            <w:r>
              <w:rPr>
                <w:rFonts w:ascii="Times New Roman" w:hAnsi="Times New Roman"/>
                <w:kern w:val="0"/>
                <w:szCs w:val="21"/>
              </w:rPr>
              <w:t>主机发生器有双能量输出，</w:t>
            </w:r>
            <w:r>
              <w:rPr>
                <w:rFonts w:hint="eastAsia" w:ascii="Times New Roman" w:hAnsi="Times New Roman"/>
                <w:kern w:val="0"/>
                <w:szCs w:val="21"/>
              </w:rPr>
              <w:t>可输</w:t>
            </w:r>
            <w:r>
              <w:rPr>
                <w:rFonts w:ascii="Times New Roman" w:hAnsi="Times New Roman"/>
                <w:kern w:val="0"/>
                <w:szCs w:val="21"/>
              </w:rPr>
              <w:t>出超声能量和双极能量，</w:t>
            </w:r>
            <w:r>
              <w:rPr>
                <w:rFonts w:hint="eastAsia" w:ascii="Cambria" w:hAnsi="Cambria"/>
              </w:rPr>
              <w:t>两种能量通过同一台主机输出</w:t>
            </w:r>
            <w:r>
              <w:rPr>
                <w:rFonts w:ascii="Cambria" w:hAnsi="Cambr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rPr>
            </w:pPr>
            <w:r>
              <w:rPr>
                <w:rFonts w:hint="eastAsia"/>
                <w:b/>
                <w:bCs/>
              </w:rPr>
              <w:t>3</w:t>
            </w:r>
          </w:p>
        </w:tc>
        <w:tc>
          <w:tcPr>
            <w:tcW w:w="7414" w:type="dxa"/>
            <w:vAlign w:val="center"/>
          </w:tcPr>
          <w:p>
            <w:pPr>
              <w:rPr>
                <w:rFonts w:hint="eastAsia"/>
                <w:b/>
                <w:bCs/>
              </w:rPr>
            </w:pPr>
            <w:r>
              <w:rPr>
                <w:rFonts w:ascii="Times New Roman" w:hAnsi="Times New Roman"/>
                <w:kern w:val="0"/>
                <w:szCs w:val="21"/>
              </w:rPr>
              <w:t>具有彩色</w:t>
            </w:r>
            <w:r>
              <w:rPr>
                <w:rFonts w:hint="eastAsia" w:ascii="Times New Roman" w:hAnsi="Times New Roman"/>
                <w:kern w:val="0"/>
                <w:szCs w:val="21"/>
              </w:rPr>
              <w:t>触摸式</w:t>
            </w:r>
            <w:r>
              <w:rPr>
                <w:rFonts w:ascii="Times New Roman" w:hAnsi="Times New Roman"/>
                <w:kern w:val="0"/>
                <w:szCs w:val="21"/>
              </w:rPr>
              <w:t>显示器，触屏设置，可图文显示</w:t>
            </w:r>
            <w:r>
              <w:rPr>
                <w:rFonts w:hint="eastAsia" w:ascii="Times New Roman" w:hAnsi="Times New Roman"/>
                <w:kern w:val="0"/>
                <w:szCs w:val="21"/>
              </w:rPr>
              <w:t>至少5种</w:t>
            </w:r>
            <w:r>
              <w:rPr>
                <w:rFonts w:ascii="Times New Roman" w:hAnsi="Times New Roman"/>
                <w:kern w:val="0"/>
                <w:szCs w:val="21"/>
              </w:rPr>
              <w:t>故障诊断信息。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4</w:t>
            </w:r>
          </w:p>
        </w:tc>
        <w:tc>
          <w:tcPr>
            <w:tcW w:w="7414" w:type="dxa"/>
            <w:vAlign w:val="center"/>
          </w:tcPr>
          <w:p>
            <w:pPr>
              <w:rPr>
                <w:rFonts w:hint="eastAsia" w:eastAsia="宋体"/>
                <w:b/>
                <w:bCs/>
                <w:lang w:eastAsia="zh-CN"/>
              </w:rPr>
            </w:pPr>
            <w:r>
              <w:rPr>
                <w:rFonts w:hint="eastAsia" w:ascii="Times New Roman" w:hAnsi="Times New Roman"/>
                <w:kern w:val="0"/>
                <w:szCs w:val="21"/>
                <w:lang w:eastAsia="zh-CN"/>
              </w:rPr>
              <w:t>具有通过</w:t>
            </w:r>
            <w:r>
              <w:rPr>
                <w:rFonts w:ascii="Times New Roman" w:hAnsi="Times New Roman"/>
                <w:kern w:val="0"/>
                <w:szCs w:val="21"/>
              </w:rPr>
              <w:t>USB</w:t>
            </w:r>
            <w:r>
              <w:rPr>
                <w:rFonts w:hint="eastAsia" w:ascii="Times New Roman" w:hAnsi="Times New Roman"/>
                <w:kern w:val="0"/>
                <w:szCs w:val="21"/>
              </w:rPr>
              <w:t>接</w:t>
            </w:r>
            <w:r>
              <w:rPr>
                <w:rFonts w:ascii="Times New Roman" w:hAnsi="Times New Roman"/>
                <w:kern w:val="0"/>
                <w:szCs w:val="21"/>
              </w:rPr>
              <w:t>口</w:t>
            </w:r>
            <w:r>
              <w:rPr>
                <w:rFonts w:hint="eastAsia" w:ascii="Times New Roman" w:hAnsi="Times New Roman"/>
                <w:kern w:val="0"/>
                <w:szCs w:val="21"/>
              </w:rPr>
              <w:t>升级</w:t>
            </w:r>
            <w:r>
              <w:rPr>
                <w:rFonts w:ascii="Times New Roman" w:hAnsi="Times New Roman"/>
                <w:kern w:val="0"/>
                <w:szCs w:val="21"/>
              </w:rPr>
              <w:t>系统软件版本</w:t>
            </w:r>
            <w:r>
              <w:rPr>
                <w:rFonts w:hint="eastAsia" w:ascii="Times New Roman" w:hAnsi="Times New Roman"/>
                <w:kern w:val="0"/>
                <w:szCs w:val="21"/>
                <w:lang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5</w:t>
            </w:r>
          </w:p>
        </w:tc>
        <w:tc>
          <w:tcPr>
            <w:tcW w:w="7414" w:type="dxa"/>
            <w:vAlign w:val="center"/>
          </w:tcPr>
          <w:p>
            <w:pPr>
              <w:rPr>
                <w:rFonts w:hint="eastAsia"/>
              </w:rPr>
            </w:pPr>
            <w:r>
              <w:rPr>
                <w:rFonts w:ascii="Times New Roman" w:hAnsi="Times New Roman"/>
                <w:kern w:val="0"/>
                <w:szCs w:val="21"/>
              </w:rPr>
              <w:t>主机发生器有使用历史记录记载功能。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6</w:t>
            </w:r>
          </w:p>
        </w:tc>
        <w:tc>
          <w:tcPr>
            <w:tcW w:w="7414" w:type="dxa"/>
            <w:vAlign w:val="center"/>
          </w:tcPr>
          <w:p>
            <w:pPr>
              <w:rPr>
                <w:rFonts w:hint="eastAsia"/>
              </w:rPr>
            </w:pPr>
            <w:r>
              <w:rPr>
                <w:rFonts w:hint="eastAsia" w:ascii="Times New Roman" w:hAnsi="Times New Roman"/>
                <w:kern w:val="0"/>
                <w:szCs w:val="21"/>
              </w:rPr>
              <w:t>具有</w:t>
            </w:r>
            <w:r>
              <w:rPr>
                <w:rFonts w:ascii="Times New Roman" w:hAnsi="Times New Roman"/>
                <w:kern w:val="0"/>
                <w:szCs w:val="21"/>
              </w:rPr>
              <w:t>智能组织感应技术，能根据钳口中组织变化</w:t>
            </w:r>
            <w:r>
              <w:rPr>
                <w:rFonts w:hint="eastAsia" w:ascii="Times New Roman" w:hAnsi="Times New Roman"/>
                <w:kern w:val="0"/>
                <w:szCs w:val="21"/>
              </w:rPr>
              <w:t>自动</w:t>
            </w:r>
            <w:r>
              <w:rPr>
                <w:rFonts w:ascii="Times New Roman" w:hAnsi="Times New Roman"/>
                <w:kern w:val="0"/>
                <w:szCs w:val="21"/>
              </w:rPr>
              <w:t>调整能量输出</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7</w:t>
            </w:r>
          </w:p>
        </w:tc>
        <w:tc>
          <w:tcPr>
            <w:tcW w:w="7414" w:type="dxa"/>
            <w:vAlign w:val="center"/>
          </w:tcPr>
          <w:p>
            <w:pPr>
              <w:rPr>
                <w:rFonts w:hint="eastAsia"/>
                <w:b/>
                <w:bCs/>
              </w:rPr>
            </w:pPr>
            <w:r>
              <w:rPr>
                <w:rFonts w:ascii="Times New Roman" w:hAnsi="Times New Roman"/>
                <w:kern w:val="0"/>
                <w:szCs w:val="21"/>
              </w:rPr>
              <w:t>超声振动频率大于</w:t>
            </w:r>
            <w:r>
              <w:rPr>
                <w:rFonts w:hint="eastAsia" w:ascii="Times New Roman" w:hAnsi="Times New Roman"/>
                <w:kern w:val="0"/>
                <w:szCs w:val="21"/>
              </w:rPr>
              <w:t>5</w:t>
            </w:r>
            <w:r>
              <w:rPr>
                <w:rFonts w:ascii="Times New Roman" w:hAnsi="Times New Roman"/>
                <w:kern w:val="0"/>
                <w:szCs w:val="21"/>
              </w:rPr>
              <w:t>5000Hz</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▲8</w:t>
            </w:r>
          </w:p>
        </w:tc>
        <w:tc>
          <w:tcPr>
            <w:tcW w:w="7414" w:type="dxa"/>
            <w:vAlign w:val="center"/>
          </w:tcPr>
          <w:p>
            <w:pPr>
              <w:rPr>
                <w:rFonts w:hint="eastAsia"/>
              </w:rPr>
            </w:pPr>
            <w:r>
              <w:rPr>
                <w:rFonts w:hint="eastAsia" w:ascii="Times New Roman" w:hAnsi="Times New Roman"/>
                <w:kern w:val="0"/>
                <w:szCs w:val="21"/>
              </w:rPr>
              <w:t>可适配能</w:t>
            </w:r>
            <w:r>
              <w:rPr>
                <w:rFonts w:ascii="Times New Roman" w:hAnsi="Times New Roman"/>
                <w:kern w:val="0"/>
                <w:szCs w:val="21"/>
              </w:rPr>
              <w:t>安全处理</w:t>
            </w:r>
            <w:r>
              <w:rPr>
                <w:rFonts w:hint="eastAsia" w:ascii="Times New Roman" w:hAnsi="Times New Roman"/>
                <w:kern w:val="0"/>
                <w:szCs w:val="21"/>
              </w:rPr>
              <w:t>直径7</w:t>
            </w:r>
            <w:r>
              <w:rPr>
                <w:rFonts w:ascii="Times New Roman" w:hAnsi="Times New Roman"/>
                <w:kern w:val="0"/>
                <w:szCs w:val="21"/>
              </w:rPr>
              <w:t>mm</w:t>
            </w:r>
            <w:r>
              <w:rPr>
                <w:rFonts w:hint="eastAsia" w:ascii="Times New Roman" w:hAnsi="Times New Roman"/>
                <w:kern w:val="0"/>
                <w:szCs w:val="21"/>
              </w:rPr>
              <w:t>以及7</w:t>
            </w:r>
            <w:r>
              <w:rPr>
                <w:rFonts w:ascii="Times New Roman" w:hAnsi="Times New Roman"/>
                <w:kern w:val="0"/>
                <w:szCs w:val="21"/>
              </w:rPr>
              <w:t>mm</w:t>
            </w:r>
            <w:r>
              <w:rPr>
                <w:rFonts w:hint="eastAsia" w:ascii="Times New Roman" w:hAnsi="Times New Roman"/>
                <w:kern w:val="0"/>
                <w:szCs w:val="21"/>
              </w:rPr>
              <w:t>以下</w:t>
            </w:r>
            <w:r>
              <w:rPr>
                <w:rFonts w:hint="eastAsia" w:ascii="Cambria" w:hAnsi="Cambria"/>
              </w:rPr>
              <w:t>血</w:t>
            </w:r>
            <w:r>
              <w:rPr>
                <w:rFonts w:ascii="Cambria" w:hAnsi="Cambria"/>
              </w:rPr>
              <w:t>管及淋巴管</w:t>
            </w:r>
            <w:r>
              <w:rPr>
                <w:rFonts w:hint="eastAsia" w:ascii="Times New Roman" w:hAnsi="Times New Roman"/>
                <w:kern w:val="0"/>
                <w:szCs w:val="21"/>
              </w:rPr>
              <w:t>的同品牌超声刀头。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9</w:t>
            </w:r>
          </w:p>
        </w:tc>
        <w:tc>
          <w:tcPr>
            <w:tcW w:w="7414" w:type="dxa"/>
            <w:vAlign w:val="center"/>
          </w:tcPr>
          <w:p>
            <w:pPr>
              <w:rPr>
                <w:rFonts w:hint="eastAsia" w:eastAsia="宋体"/>
                <w:lang w:eastAsia="zh-CN"/>
              </w:rPr>
            </w:pPr>
            <w:r>
              <w:rPr>
                <w:rFonts w:ascii="Times New Roman" w:hAnsi="Times New Roman"/>
                <w:kern w:val="0"/>
                <w:szCs w:val="21"/>
              </w:rPr>
              <w:t>超声刀头有防粘连涂层</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10</w:t>
            </w:r>
          </w:p>
        </w:tc>
        <w:tc>
          <w:tcPr>
            <w:tcW w:w="7414" w:type="dxa"/>
            <w:vAlign w:val="center"/>
          </w:tcPr>
          <w:p>
            <w:pPr>
              <w:rPr>
                <w:rFonts w:hint="eastAsia" w:eastAsia="宋体"/>
                <w:b/>
                <w:bCs/>
                <w:lang w:eastAsia="zh-CN"/>
              </w:rPr>
            </w:pPr>
            <w:r>
              <w:rPr>
                <w:rFonts w:ascii="Times New Roman" w:hAnsi="Times New Roman"/>
                <w:kern w:val="0"/>
                <w:szCs w:val="21"/>
              </w:rPr>
              <w:t>手柄内含智能芯片，提供系统诊断功能</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11</w:t>
            </w:r>
          </w:p>
        </w:tc>
        <w:tc>
          <w:tcPr>
            <w:tcW w:w="7414" w:type="dxa"/>
            <w:vAlign w:val="center"/>
          </w:tcPr>
          <w:p>
            <w:pPr>
              <w:rPr>
                <w:rFonts w:hint="eastAsia" w:eastAsia="宋体"/>
                <w:lang w:eastAsia="zh-CN"/>
              </w:rPr>
            </w:pPr>
            <w:r>
              <w:rPr>
                <w:rFonts w:ascii="Times New Roman" w:hAnsi="Times New Roman"/>
                <w:kern w:val="0"/>
                <w:szCs w:val="21"/>
              </w:rPr>
              <w:t>激发模式具有：手控、脚控</w:t>
            </w:r>
            <w:r>
              <w:rPr>
                <w:rFonts w:hint="eastAsia" w:ascii="Times New Roman" w:hAnsi="Times New Roman"/>
                <w:kern w:val="0"/>
                <w:szCs w:val="21"/>
                <w:lang w:eastAsia="zh-CN"/>
              </w:rPr>
              <w:t>，</w:t>
            </w:r>
            <w:r>
              <w:rPr>
                <w:rFonts w:hint="eastAsia" w:ascii="Cambria" w:hAnsi="Cambria"/>
              </w:rPr>
              <w:t>脚踏不同开关键之间有间隔板</w:t>
            </w:r>
            <w:r>
              <w:rPr>
                <w:rFonts w:hint="eastAsia" w:ascii="Cambria" w:hAnsi="Cambr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12</w:t>
            </w:r>
          </w:p>
        </w:tc>
        <w:tc>
          <w:tcPr>
            <w:tcW w:w="7414" w:type="dxa"/>
            <w:vAlign w:val="center"/>
          </w:tcPr>
          <w:p>
            <w:pPr>
              <w:rPr>
                <w:rFonts w:hint="eastAsia" w:eastAsia="宋体"/>
                <w:lang w:eastAsia="zh-CN"/>
              </w:rPr>
            </w:pPr>
            <w:r>
              <w:rPr>
                <w:rFonts w:ascii="Times New Roman" w:hAnsi="Times New Roman"/>
                <w:kern w:val="0"/>
                <w:szCs w:val="21"/>
              </w:rPr>
              <w:t>可适配刀头款式多样，</w:t>
            </w:r>
            <w:r>
              <w:rPr>
                <w:rFonts w:hint="eastAsia" w:ascii="Times New Roman" w:hAnsi="Times New Roman"/>
                <w:kern w:val="0"/>
                <w:szCs w:val="21"/>
              </w:rPr>
              <w:t>适配</w:t>
            </w:r>
            <w:r>
              <w:rPr>
                <w:rFonts w:ascii="Times New Roman" w:hAnsi="Times New Roman"/>
                <w:kern w:val="0"/>
                <w:szCs w:val="21"/>
              </w:rPr>
              <w:t>同品牌枪式超声刀头，枪式超声刀具有至少三种杆身长度刀头可供</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13</w:t>
            </w:r>
          </w:p>
        </w:tc>
        <w:tc>
          <w:tcPr>
            <w:tcW w:w="7414" w:type="dxa"/>
            <w:vAlign w:val="center"/>
          </w:tcPr>
          <w:p>
            <w:pPr>
              <w:rPr>
                <w:rFonts w:hint="eastAsia"/>
                <w:b/>
                <w:bCs/>
              </w:rPr>
            </w:pPr>
            <w:r>
              <w:rPr>
                <w:rFonts w:ascii="Times New Roman" w:hAnsi="Times New Roman"/>
                <w:kern w:val="0"/>
                <w:szCs w:val="21"/>
              </w:rPr>
              <w:t>可适配同品牌剪式超声刀头，剪刀式超声刀具有至少两种杆身长度刀头可供选择，主要用于开放甲状腺手术、开放乳腺手术、开放胃肠、妇科手术</w:t>
            </w:r>
            <w:r>
              <w:rPr>
                <w:rFonts w:hint="eastAsia" w:ascii="Times New Roman" w:hAnsi="Times New Roman"/>
                <w:kern w:val="0"/>
                <w:szCs w:val="21"/>
              </w:rPr>
              <w:t>等浅表术式。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14</w:t>
            </w:r>
          </w:p>
        </w:tc>
        <w:tc>
          <w:tcPr>
            <w:tcW w:w="7414" w:type="dxa"/>
            <w:vAlign w:val="center"/>
          </w:tcPr>
          <w:p>
            <w:pPr>
              <w:rPr>
                <w:rFonts w:hint="eastAsia"/>
              </w:rPr>
            </w:pPr>
            <w:r>
              <w:rPr>
                <w:rFonts w:ascii="Times New Roman" w:hAnsi="Times New Roman"/>
                <w:kern w:val="0"/>
                <w:szCs w:val="21"/>
              </w:rPr>
              <w:t>可适配无需安装手柄换能器的超声刀头</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15</w:t>
            </w:r>
          </w:p>
        </w:tc>
        <w:tc>
          <w:tcPr>
            <w:tcW w:w="7414" w:type="dxa"/>
            <w:vAlign w:val="center"/>
          </w:tcPr>
          <w:p>
            <w:pPr>
              <w:rPr>
                <w:rFonts w:hint="eastAsia"/>
              </w:rPr>
            </w:pPr>
            <w:r>
              <w:rPr>
                <w:rFonts w:ascii="Times New Roman" w:hAnsi="Times New Roman"/>
                <w:kern w:val="0"/>
                <w:szCs w:val="21"/>
              </w:rPr>
              <w:t>超声刀头有弧形金属头端。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16</w:t>
            </w:r>
          </w:p>
        </w:tc>
        <w:tc>
          <w:tcPr>
            <w:tcW w:w="7414" w:type="dxa"/>
            <w:vAlign w:val="center"/>
          </w:tcPr>
          <w:p>
            <w:pPr>
              <w:rPr>
                <w:rFonts w:hint="eastAsia"/>
                <w:b/>
                <w:bCs/>
              </w:rPr>
            </w:pPr>
            <w:r>
              <w:rPr>
                <w:rFonts w:ascii="Times New Roman" w:hAnsi="Times New Roman"/>
                <w:kern w:val="0"/>
                <w:szCs w:val="21"/>
              </w:rPr>
              <w:t>工作时可显示功率大小，刀头工作时有声音提示工作状况。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17</w:t>
            </w:r>
          </w:p>
        </w:tc>
        <w:tc>
          <w:tcPr>
            <w:tcW w:w="7414" w:type="dxa"/>
            <w:vAlign w:val="center"/>
          </w:tcPr>
          <w:p>
            <w:pPr>
              <w:rPr>
                <w:rFonts w:hint="eastAsia"/>
              </w:rPr>
            </w:pPr>
            <w:r>
              <w:rPr>
                <w:rFonts w:ascii="Times New Roman" w:hAnsi="Times New Roman"/>
                <w:kern w:val="0"/>
                <w:szCs w:val="21"/>
              </w:rPr>
              <w:t>配有检测超声换能手柄性能的工具。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18</w:t>
            </w:r>
          </w:p>
        </w:tc>
        <w:tc>
          <w:tcPr>
            <w:tcW w:w="7414" w:type="dxa"/>
            <w:vAlign w:val="center"/>
          </w:tcPr>
          <w:p>
            <w:pPr>
              <w:rPr>
                <w:rFonts w:hint="eastAsia" w:eastAsia="宋体"/>
                <w:lang w:eastAsia="zh-CN"/>
              </w:rPr>
            </w:pPr>
            <w:r>
              <w:rPr>
                <w:rFonts w:ascii="Times New Roman" w:hAnsi="Times New Roman"/>
                <w:kern w:val="0"/>
                <w:szCs w:val="21"/>
              </w:rPr>
              <w:t>刀头或刀面可以360度旋转</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19</w:t>
            </w:r>
          </w:p>
        </w:tc>
        <w:tc>
          <w:tcPr>
            <w:tcW w:w="7414" w:type="dxa"/>
            <w:vAlign w:val="center"/>
          </w:tcPr>
          <w:p>
            <w:pPr>
              <w:rPr>
                <w:rFonts w:hint="eastAsia" w:eastAsia="宋体"/>
                <w:b/>
                <w:bCs/>
                <w:lang w:eastAsia="zh-CN"/>
              </w:rPr>
            </w:pPr>
            <w:r>
              <w:rPr>
                <w:rFonts w:ascii="Times New Roman" w:hAnsi="Times New Roman"/>
                <w:kern w:val="0"/>
                <w:szCs w:val="21"/>
              </w:rPr>
              <w:t>可兼容的双极刀头具有工形刀钳口</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20</w:t>
            </w:r>
          </w:p>
        </w:tc>
        <w:tc>
          <w:tcPr>
            <w:tcW w:w="7414" w:type="dxa"/>
            <w:vAlign w:val="center"/>
          </w:tcPr>
          <w:p>
            <w:pPr>
              <w:rPr>
                <w:rFonts w:hint="eastAsia"/>
              </w:rPr>
            </w:pPr>
            <w:r>
              <w:rPr>
                <w:rFonts w:ascii="Times New Roman" w:hAnsi="Times New Roman"/>
                <w:kern w:val="0"/>
                <w:szCs w:val="21"/>
              </w:rPr>
              <w:t>可适配具备切割和凝闭</w:t>
            </w:r>
            <w:r>
              <w:rPr>
                <w:rFonts w:hint="eastAsia" w:ascii="Times New Roman" w:hAnsi="Times New Roman"/>
                <w:kern w:val="0"/>
                <w:szCs w:val="21"/>
              </w:rPr>
              <w:t>直径</w:t>
            </w:r>
            <w:r>
              <w:rPr>
                <w:rFonts w:ascii="Times New Roman" w:hAnsi="Times New Roman"/>
                <w:kern w:val="0"/>
                <w:szCs w:val="21"/>
              </w:rPr>
              <w:t>7mm</w:t>
            </w:r>
            <w:r>
              <w:rPr>
                <w:rFonts w:hint="eastAsia" w:ascii="Times New Roman" w:hAnsi="Times New Roman"/>
                <w:kern w:val="0"/>
                <w:szCs w:val="21"/>
              </w:rPr>
              <w:t>以及7</w:t>
            </w:r>
            <w:r>
              <w:rPr>
                <w:rFonts w:ascii="Times New Roman" w:hAnsi="Times New Roman"/>
                <w:kern w:val="0"/>
                <w:szCs w:val="21"/>
              </w:rPr>
              <w:t>mm</w:t>
            </w:r>
            <w:r>
              <w:rPr>
                <w:rFonts w:hint="eastAsia" w:ascii="Times New Roman" w:hAnsi="Times New Roman"/>
                <w:kern w:val="0"/>
                <w:szCs w:val="21"/>
              </w:rPr>
              <w:t>以下的</w:t>
            </w:r>
            <w:r>
              <w:rPr>
                <w:rFonts w:ascii="Times New Roman" w:hAnsi="Times New Roman"/>
                <w:kern w:val="0"/>
                <w:szCs w:val="21"/>
              </w:rPr>
              <w:t>脉管能力的双极刀头</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▲21</w:t>
            </w:r>
          </w:p>
        </w:tc>
        <w:tc>
          <w:tcPr>
            <w:tcW w:w="7414" w:type="dxa"/>
            <w:vAlign w:val="center"/>
          </w:tcPr>
          <w:p>
            <w:pPr>
              <w:rPr>
                <w:rFonts w:hint="eastAsia" w:eastAsia="宋体"/>
                <w:lang w:eastAsia="zh-CN"/>
              </w:rPr>
            </w:pPr>
            <w:r>
              <w:rPr>
                <w:rFonts w:ascii="Times New Roman" w:hAnsi="Times New Roman"/>
                <w:kern w:val="0"/>
                <w:szCs w:val="21"/>
              </w:rPr>
              <w:t>可适配的双极刀头</w:t>
            </w:r>
            <w:r>
              <w:rPr>
                <w:rFonts w:hint="eastAsia" w:ascii="Times New Roman" w:hAnsi="Times New Roman"/>
                <w:kern w:val="0"/>
                <w:szCs w:val="21"/>
              </w:rPr>
              <w:t>具有热敏材料，钳</w:t>
            </w:r>
            <w:r>
              <w:rPr>
                <w:rFonts w:ascii="Times New Roman" w:hAnsi="Times New Roman"/>
                <w:kern w:val="0"/>
                <w:szCs w:val="21"/>
              </w:rPr>
              <w:t>口组织温度维持在</w:t>
            </w:r>
            <w:r>
              <w:rPr>
                <w:rFonts w:hint="eastAsia" w:ascii="Times New Roman" w:hAnsi="Times New Roman"/>
                <w:kern w:val="0"/>
                <w:szCs w:val="21"/>
                <w:lang w:eastAsia="zh-CN"/>
              </w:rPr>
              <w:t>≤</w:t>
            </w:r>
            <w:r>
              <w:rPr>
                <w:rFonts w:ascii="Times New Roman" w:hAnsi="Times New Roman"/>
                <w:kern w:val="0"/>
                <w:szCs w:val="21"/>
              </w:rPr>
              <w:t>100℃</w:t>
            </w:r>
            <w:r>
              <w:rPr>
                <w:rFonts w:hint="eastAsia" w:ascii="Times New Roman" w:hAnsi="Times New Roman"/>
                <w:kern w:val="0"/>
                <w:szCs w:val="21"/>
              </w:rPr>
              <w:t>范围</w:t>
            </w:r>
            <w:r>
              <w:rPr>
                <w:rFonts w:hint="eastAsia" w:ascii="Times New Roman" w:hAnsi="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0" w:type="dxa"/>
            <w:vAlign w:val="center"/>
          </w:tcPr>
          <w:p>
            <w:pPr>
              <w:jc w:val="center"/>
              <w:rPr>
                <w:rFonts w:hint="eastAsia"/>
                <w:b/>
                <w:bCs/>
              </w:rPr>
            </w:pPr>
            <w:r>
              <w:rPr>
                <w:rFonts w:hint="eastAsia"/>
                <w:b/>
                <w:bCs/>
              </w:rPr>
              <w:t>22</w:t>
            </w:r>
          </w:p>
        </w:tc>
        <w:tc>
          <w:tcPr>
            <w:tcW w:w="7414" w:type="dxa"/>
            <w:vAlign w:val="center"/>
          </w:tcPr>
          <w:p>
            <w:pPr>
              <w:rPr>
                <w:rFonts w:hint="eastAsia"/>
                <w:b/>
                <w:bCs/>
              </w:rPr>
            </w:pPr>
            <w:r>
              <w:rPr>
                <w:rFonts w:ascii="Times New Roman" w:hAnsi="Times New Roman"/>
                <w:kern w:val="0"/>
                <w:szCs w:val="21"/>
              </w:rPr>
              <w:t>双极刀头切割和凝闭可以同时进行，集切割、凝闭、抓持、分离于一体。</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2. </w:t>
      </w:r>
      <w:r>
        <w:rPr>
          <w:rFonts w:hint="eastAsia" w:ascii="宋体" w:hAnsi="宋体"/>
          <w:sz w:val="24"/>
          <w:u w:val="single"/>
        </w:rPr>
        <w:t>电外科能量平台（高频电外科手术系统）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color w:val="000000"/>
                <w:lang w:eastAsia="zh-CN"/>
              </w:rPr>
            </w:pPr>
            <w:r>
              <w:rPr>
                <w:rFonts w:hint="eastAsia"/>
                <w:b/>
                <w:bCs/>
                <w:color w:val="000000"/>
                <w:lang w:val="en-US" w:eastAsia="zh-CN"/>
              </w:rPr>
              <w:t>1</w:t>
            </w:r>
          </w:p>
        </w:tc>
        <w:tc>
          <w:tcPr>
            <w:tcW w:w="7452" w:type="dxa"/>
            <w:vAlign w:val="center"/>
          </w:tcPr>
          <w:p>
            <w:pPr>
              <w:widowControl/>
            </w:pPr>
            <w:r>
              <w:rPr>
                <w:rFonts w:hint="eastAsia"/>
              </w:rPr>
              <w:t>具有多种电凝模式：双极强力电凝、至少二档效果调节；双极柔和电凝、至少八档效果调节；带自动停止的双极柔和电凝、至少八档效果调节；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color w:val="000000"/>
                <w:lang w:eastAsia="zh-CN"/>
              </w:rPr>
            </w:pPr>
            <w:r>
              <w:rPr>
                <w:rFonts w:hint="eastAsia"/>
                <w:b/>
                <w:bCs/>
                <w:color w:val="000000"/>
                <w:lang w:val="en-US" w:eastAsia="zh-CN"/>
              </w:rPr>
              <w:t>2</w:t>
            </w:r>
          </w:p>
        </w:tc>
        <w:tc>
          <w:tcPr>
            <w:tcW w:w="7452" w:type="dxa"/>
            <w:vAlign w:val="center"/>
          </w:tcPr>
          <w:p>
            <w:pPr>
              <w:widowControl/>
              <w:rPr>
                <w:rFonts w:hint="eastAsia"/>
              </w:rPr>
            </w:pPr>
            <w:r>
              <w:rPr>
                <w:rFonts w:hint="eastAsia"/>
              </w:rPr>
              <w:t>带自动停止的血管闭合模式、至少四档效果调节；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color w:val="000000"/>
              </w:rPr>
            </w:pPr>
            <w:r>
              <w:rPr>
                <w:rFonts w:hint="eastAsia"/>
                <w:color w:val="000000"/>
              </w:rPr>
              <w:t>▲</w:t>
            </w:r>
            <w:r>
              <w:rPr>
                <w:rFonts w:hint="eastAsia"/>
                <w:b/>
                <w:bCs/>
                <w:color w:val="000000"/>
                <w:lang w:val="en-US" w:eastAsia="zh-CN"/>
              </w:rPr>
              <w:t>3</w:t>
            </w:r>
          </w:p>
        </w:tc>
        <w:tc>
          <w:tcPr>
            <w:tcW w:w="7452" w:type="dxa"/>
            <w:vAlign w:val="center"/>
          </w:tcPr>
          <w:p>
            <w:pPr>
              <w:widowControl/>
              <w:rPr>
                <w:rFonts w:hint="eastAsia" w:ascii="宋体" w:hAnsi="宋体" w:cs="TimesNewRoman"/>
                <w:kern w:val="0"/>
                <w:sz w:val="24"/>
              </w:rPr>
            </w:pPr>
            <w:r>
              <w:rPr>
                <w:rFonts w:hint="eastAsia"/>
              </w:rPr>
              <w:t>具有单极模式</w:t>
            </w:r>
            <w:r>
              <w:rPr>
                <w:rFonts w:hint="eastAsia" w:ascii="宋体" w:hAnsi="宋体" w:cs="TimesNewRoman"/>
                <w:kern w:val="0"/>
                <w:sz w:val="24"/>
              </w:rPr>
              <w:t>，</w:t>
            </w:r>
            <w:r>
              <w:rPr>
                <w:rFonts w:hint="eastAsia"/>
              </w:rPr>
              <w:t>双极模式，等离子电切模块、大血管闭合钳、大血管闭合离断刀、双极电凝电切剪、双极电切、双极柔和电凝、双极强力电凝功能；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color w:val="000000"/>
                <w:lang w:eastAsia="zh-CN"/>
              </w:rPr>
            </w:pPr>
            <w:r>
              <w:rPr>
                <w:rFonts w:hint="eastAsia"/>
                <w:b/>
                <w:bCs/>
                <w:color w:val="000000"/>
                <w:lang w:val="en-US" w:eastAsia="zh-CN"/>
              </w:rPr>
              <w:t>4</w:t>
            </w:r>
          </w:p>
        </w:tc>
        <w:tc>
          <w:tcPr>
            <w:tcW w:w="7452" w:type="dxa"/>
            <w:vAlign w:val="center"/>
          </w:tcPr>
          <w:p>
            <w:pPr>
              <w:widowControl/>
            </w:pPr>
            <w:r>
              <w:rPr>
                <w:rFonts w:hint="eastAsia"/>
              </w:rPr>
              <w:t>具备软、硬件升级功能；能进行水刀、氩气刀、烟雾净化系统模块的升级。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color w:val="000000"/>
                <w:lang w:eastAsia="zh-CN"/>
              </w:rPr>
            </w:pPr>
            <w:r>
              <w:rPr>
                <w:rFonts w:hint="eastAsia"/>
                <w:b/>
                <w:bCs/>
                <w:color w:val="000000"/>
                <w:lang w:val="en-US" w:eastAsia="zh-CN"/>
              </w:rPr>
              <w:t>5</w:t>
            </w:r>
          </w:p>
        </w:tc>
        <w:tc>
          <w:tcPr>
            <w:tcW w:w="7452" w:type="dxa"/>
            <w:vAlign w:val="center"/>
          </w:tcPr>
          <w:p>
            <w:pPr>
              <w:widowControl/>
            </w:pPr>
            <w:r>
              <w:rPr>
                <w:rFonts w:hint="eastAsia"/>
              </w:rPr>
              <w:t>整机微电脑控制，彩色液晶显示，中文操作界面；中文故障提示及操作建议；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color w:val="000000"/>
              </w:rPr>
            </w:pPr>
            <w:r>
              <w:rPr>
                <w:rFonts w:hint="eastAsia"/>
                <w:color w:val="000000"/>
              </w:rPr>
              <w:t>▲</w:t>
            </w:r>
            <w:r>
              <w:rPr>
                <w:rFonts w:hint="eastAsia"/>
                <w:b/>
                <w:bCs/>
                <w:color w:val="000000"/>
                <w:lang w:val="en-US" w:eastAsia="zh-CN"/>
              </w:rPr>
              <w:t>6</w:t>
            </w:r>
          </w:p>
        </w:tc>
        <w:tc>
          <w:tcPr>
            <w:tcW w:w="7452" w:type="dxa"/>
            <w:vAlign w:val="center"/>
          </w:tcPr>
          <w:p>
            <w:pPr>
              <w:widowControl/>
            </w:pPr>
            <w:r>
              <w:rPr>
                <w:rFonts w:hint="eastAsia"/>
              </w:rPr>
              <w:t>可储存至少198个程序，通过无菌区的普通单极倒闭进行程序切换，并实现模式功能、功率效果设定及脚踏分配设置切换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color w:val="000000"/>
                <w:lang w:eastAsia="zh-CN"/>
              </w:rPr>
            </w:pPr>
            <w:r>
              <w:rPr>
                <w:rFonts w:hint="eastAsia"/>
                <w:b/>
                <w:bCs/>
                <w:color w:val="000000"/>
                <w:lang w:val="en-US" w:eastAsia="zh-CN"/>
              </w:rPr>
              <w:t>7</w:t>
            </w:r>
          </w:p>
        </w:tc>
        <w:tc>
          <w:tcPr>
            <w:tcW w:w="7452" w:type="dxa"/>
            <w:vAlign w:val="center"/>
          </w:tcPr>
          <w:p>
            <w:pPr>
              <w:widowControl/>
              <w:rPr>
                <w:b/>
                <w:bCs/>
              </w:rPr>
            </w:pPr>
            <w:r>
              <w:rPr>
                <w:rFonts w:hint="eastAsia"/>
                <w:b/>
                <w:bCs/>
              </w:rPr>
              <w:t>电外科能量平台主机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.1</w:t>
            </w:r>
          </w:p>
        </w:tc>
        <w:tc>
          <w:tcPr>
            <w:tcW w:w="7452" w:type="dxa"/>
            <w:vAlign w:val="center"/>
          </w:tcPr>
          <w:p>
            <w:pPr>
              <w:widowControl/>
            </w:pPr>
            <w:r>
              <w:rPr>
                <w:rFonts w:hint="eastAsia"/>
              </w:rPr>
              <w:t>电切最大输出功率：300W；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.2</w:t>
            </w:r>
          </w:p>
        </w:tc>
        <w:tc>
          <w:tcPr>
            <w:tcW w:w="7452" w:type="dxa"/>
            <w:vAlign w:val="center"/>
          </w:tcPr>
          <w:p>
            <w:pPr>
              <w:widowControl/>
            </w:pPr>
            <w:r>
              <w:rPr>
                <w:rFonts w:hint="eastAsia"/>
              </w:rPr>
              <w:t>电凝最大输出功率：200W；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.3</w:t>
            </w:r>
          </w:p>
        </w:tc>
        <w:tc>
          <w:tcPr>
            <w:tcW w:w="7452" w:type="dxa"/>
            <w:vAlign w:val="center"/>
          </w:tcPr>
          <w:p>
            <w:pPr>
              <w:widowControl/>
            </w:pPr>
            <w:r>
              <w:rPr>
                <w:rFonts w:hint="eastAsia"/>
              </w:rPr>
              <w:t>负极板安全系统：具有中性负极板安全系统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.4</w:t>
            </w:r>
          </w:p>
        </w:tc>
        <w:tc>
          <w:tcPr>
            <w:tcW w:w="7452" w:type="dxa"/>
            <w:vAlign w:val="center"/>
          </w:tcPr>
          <w:p>
            <w:pPr>
              <w:widowControl/>
            </w:pPr>
            <w:r>
              <w:rPr>
                <w:rFonts w:hint="eastAsia"/>
              </w:rPr>
              <w:t>工作频率输出：≤350KHZ；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.5</w:t>
            </w:r>
          </w:p>
        </w:tc>
        <w:tc>
          <w:tcPr>
            <w:tcW w:w="7452" w:type="dxa"/>
            <w:vAlign w:val="center"/>
          </w:tcPr>
          <w:p>
            <w:pPr>
              <w:widowControl/>
            </w:pPr>
            <w:r>
              <w:rPr>
                <w:rFonts w:hint="eastAsia"/>
              </w:rPr>
              <w:t>电源电压：100V-120V / 220V-240V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.6</w:t>
            </w:r>
          </w:p>
        </w:tc>
        <w:tc>
          <w:tcPr>
            <w:tcW w:w="7452" w:type="dxa"/>
            <w:vAlign w:val="center"/>
          </w:tcPr>
          <w:p>
            <w:pPr>
              <w:widowControl/>
            </w:pPr>
            <w:r>
              <w:rPr>
                <w:rFonts w:hint="eastAsia"/>
              </w:rPr>
              <w:t>最大输出时功率：500W/920VA；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.7</w:t>
            </w:r>
          </w:p>
        </w:tc>
        <w:tc>
          <w:tcPr>
            <w:tcW w:w="7452" w:type="dxa"/>
            <w:vAlign w:val="center"/>
          </w:tcPr>
          <w:p>
            <w:pPr>
              <w:widowControl/>
            </w:pPr>
            <w:r>
              <w:rPr>
                <w:rFonts w:hint="eastAsia"/>
              </w:rPr>
              <w:t>接地：提供标准接地装置；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color w:val="000000"/>
              </w:rPr>
            </w:pPr>
            <w:r>
              <w:rPr>
                <w:rFonts w:hint="eastAsia"/>
                <w:color w:val="000000"/>
                <w:lang w:val="en-US" w:eastAsia="zh-CN"/>
              </w:rPr>
              <w:t>7</w:t>
            </w:r>
            <w:r>
              <w:rPr>
                <w:rFonts w:hint="eastAsia"/>
                <w:color w:val="000000"/>
              </w:rPr>
              <w:t>.8</w:t>
            </w:r>
          </w:p>
        </w:tc>
        <w:tc>
          <w:tcPr>
            <w:tcW w:w="7452" w:type="dxa"/>
            <w:vAlign w:val="center"/>
          </w:tcPr>
          <w:p>
            <w:pPr>
              <w:widowControl/>
            </w:pPr>
            <w:r>
              <w:rPr>
                <w:rFonts w:hint="eastAsia"/>
              </w:rPr>
              <w:t>保险丝：T8A/4A；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lang w:eastAsia="zh-CN"/>
              </w:rPr>
            </w:pPr>
            <w:r>
              <w:rPr>
                <w:rFonts w:hint="eastAsia"/>
                <w:b/>
                <w:bCs/>
                <w:lang w:val="en-US" w:eastAsia="zh-CN"/>
              </w:rPr>
              <w:t>8</w:t>
            </w:r>
          </w:p>
        </w:tc>
        <w:tc>
          <w:tcPr>
            <w:tcW w:w="7452" w:type="dxa"/>
            <w:vAlign w:val="center"/>
          </w:tcPr>
          <w:p>
            <w:pPr>
              <w:widowControl/>
              <w:rPr>
                <w:b/>
                <w:bCs/>
              </w:rPr>
            </w:pPr>
            <w:r>
              <w:rPr>
                <w:rFonts w:hint="eastAsia"/>
                <w:b/>
                <w:bCs/>
              </w:rPr>
              <w:t>大血管闭合钳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8</w:t>
            </w:r>
            <w:r>
              <w:rPr>
                <w:rFonts w:hint="eastAsia"/>
              </w:rPr>
              <w:t>.1</w:t>
            </w:r>
          </w:p>
        </w:tc>
        <w:tc>
          <w:tcPr>
            <w:tcW w:w="7452" w:type="dxa"/>
            <w:vAlign w:val="center"/>
          </w:tcPr>
          <w:p>
            <w:pPr>
              <w:widowControl/>
            </w:pPr>
            <w:r>
              <w:rPr>
                <w:rFonts w:hint="eastAsia"/>
              </w:rPr>
              <w:t>可以直接闭合7MM以下（含7MM）的血管</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8</w:t>
            </w:r>
            <w:r>
              <w:rPr>
                <w:rFonts w:hint="eastAsia"/>
              </w:rPr>
              <w:t>.2</w:t>
            </w:r>
          </w:p>
        </w:tc>
        <w:tc>
          <w:tcPr>
            <w:tcW w:w="7452" w:type="dxa"/>
            <w:vAlign w:val="center"/>
          </w:tcPr>
          <w:p>
            <w:pPr>
              <w:widowControl/>
            </w:pPr>
            <w:r>
              <w:rPr>
                <w:rFonts w:hint="eastAsia"/>
              </w:rPr>
              <w:t>血管闭合情况有声音提示；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52" w:type="dxa"/>
            <w:vAlign w:val="center"/>
          </w:tcPr>
          <w:p>
            <w:pPr>
              <w:jc w:val="center"/>
            </w:pPr>
            <w:r>
              <w:rPr>
                <w:rFonts w:hint="eastAsia"/>
                <w:lang w:val="en-US" w:eastAsia="zh-CN"/>
              </w:rPr>
              <w:t>8</w:t>
            </w:r>
            <w:r>
              <w:rPr>
                <w:rFonts w:hint="eastAsia"/>
              </w:rPr>
              <w:t>.3</w:t>
            </w:r>
          </w:p>
        </w:tc>
        <w:tc>
          <w:tcPr>
            <w:tcW w:w="7452" w:type="dxa"/>
            <w:vAlign w:val="center"/>
          </w:tcPr>
          <w:p>
            <w:pPr>
              <w:widowControl/>
            </w:pPr>
            <w:r>
              <w:rPr>
                <w:rFonts w:hint="eastAsia"/>
              </w:rPr>
              <w:t>血管闭合器械可以高温、高压消毒，重复使用；钳口及握把均可360度旋转，手柄、外鞘、钳芯可拆卸设计。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8</w:t>
            </w:r>
            <w:r>
              <w:rPr>
                <w:rFonts w:hint="eastAsia"/>
              </w:rPr>
              <w:t>.4</w:t>
            </w:r>
          </w:p>
        </w:tc>
        <w:tc>
          <w:tcPr>
            <w:tcW w:w="7452" w:type="dxa"/>
            <w:vAlign w:val="center"/>
          </w:tcPr>
          <w:p>
            <w:pPr>
              <w:widowControl/>
            </w:pPr>
            <w:r>
              <w:rPr>
                <w:rFonts w:hint="eastAsia"/>
              </w:rPr>
              <w:t>器械</w:t>
            </w:r>
            <w:r>
              <w:rPr>
                <w:rFonts w:hint="eastAsia"/>
                <w:lang w:eastAsia="zh-CN"/>
              </w:rPr>
              <w:t>具有</w:t>
            </w:r>
            <w:r>
              <w:rPr>
                <w:rFonts w:hint="eastAsia"/>
              </w:rPr>
              <w:t>自动识别</w:t>
            </w:r>
            <w:r>
              <w:rPr>
                <w:rFonts w:hint="eastAsia"/>
                <w:lang w:eastAsia="zh-CN"/>
              </w:rPr>
              <w:t>、</w:t>
            </w:r>
            <w:r>
              <w:rPr>
                <w:rFonts w:hint="eastAsia"/>
              </w:rPr>
              <w:t>自动停止</w:t>
            </w:r>
            <w:r>
              <w:rPr>
                <w:rFonts w:hint="eastAsia"/>
                <w:lang w:eastAsia="zh-CN"/>
              </w:rPr>
              <w:t>功能</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8</w:t>
            </w:r>
            <w:r>
              <w:rPr>
                <w:rFonts w:hint="eastAsia"/>
              </w:rPr>
              <w:t>.5</w:t>
            </w:r>
          </w:p>
        </w:tc>
        <w:tc>
          <w:tcPr>
            <w:tcW w:w="7452" w:type="dxa"/>
            <w:vAlign w:val="center"/>
          </w:tcPr>
          <w:p>
            <w:pPr>
              <w:widowControl/>
              <w:rPr>
                <w:rFonts w:hint="eastAsia"/>
              </w:rPr>
            </w:pPr>
            <w:r>
              <w:rPr>
                <w:rFonts w:hint="eastAsia"/>
              </w:rPr>
              <w:t>腔镜下器械带防滑纹，并有开窗型（带防滑纹和不带防滑纹）、马里兰型（带防滑纹和不带防滑纹）、凯利型多种选择。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8</w:t>
            </w:r>
            <w:r>
              <w:rPr>
                <w:rFonts w:hint="eastAsia"/>
              </w:rPr>
              <w:t>.6</w:t>
            </w:r>
          </w:p>
        </w:tc>
        <w:tc>
          <w:tcPr>
            <w:tcW w:w="7452" w:type="dxa"/>
            <w:vAlign w:val="center"/>
          </w:tcPr>
          <w:p>
            <w:pPr>
              <w:widowControl/>
            </w:pPr>
            <w:r>
              <w:rPr>
                <w:rFonts w:hint="eastAsia"/>
              </w:rPr>
              <w:t>具备至少4档效果调节能力，最大有效输出功率300瓦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eastAsia="宋体"/>
                <w:b/>
                <w:bCs/>
                <w:lang w:eastAsia="zh-CN"/>
              </w:rPr>
            </w:pPr>
            <w:r>
              <w:rPr>
                <w:rFonts w:hint="eastAsia"/>
                <w:b/>
                <w:bCs/>
                <w:lang w:val="en-US" w:eastAsia="zh-CN"/>
              </w:rPr>
              <w:t>9</w:t>
            </w:r>
          </w:p>
        </w:tc>
        <w:tc>
          <w:tcPr>
            <w:tcW w:w="7452" w:type="dxa"/>
            <w:vAlign w:val="center"/>
          </w:tcPr>
          <w:p>
            <w:pPr>
              <w:widowControl/>
              <w:rPr>
                <w:b/>
                <w:bCs/>
              </w:rPr>
            </w:pPr>
            <w:r>
              <w:rPr>
                <w:rFonts w:hint="eastAsia"/>
                <w:b/>
                <w:bCs/>
              </w:rPr>
              <w:t>双极器械——大血管闭合离断刀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9</w:t>
            </w:r>
            <w:r>
              <w:rPr>
                <w:rFonts w:hint="eastAsia"/>
              </w:rPr>
              <w:t>.1</w:t>
            </w:r>
          </w:p>
        </w:tc>
        <w:tc>
          <w:tcPr>
            <w:tcW w:w="7452" w:type="dxa"/>
            <w:vAlign w:val="center"/>
          </w:tcPr>
          <w:p>
            <w:pPr>
              <w:widowControl/>
              <w:rPr>
                <w:rFonts w:hint="eastAsia" w:eastAsia="宋体"/>
                <w:lang w:eastAsia="zh-CN"/>
              </w:rPr>
            </w:pPr>
            <w:r>
              <w:rPr>
                <w:rFonts w:hint="eastAsia"/>
              </w:rPr>
              <w:t>带推刀器械钳口π型设计</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9</w:t>
            </w:r>
            <w:r>
              <w:rPr>
                <w:rFonts w:hint="eastAsia"/>
              </w:rPr>
              <w:t>.2</w:t>
            </w:r>
          </w:p>
        </w:tc>
        <w:tc>
          <w:tcPr>
            <w:tcW w:w="7452" w:type="dxa"/>
            <w:vAlign w:val="center"/>
          </w:tcPr>
          <w:p>
            <w:pPr>
              <w:widowControl/>
            </w:pPr>
            <w:r>
              <w:rPr>
                <w:rFonts w:hint="eastAsia"/>
              </w:rPr>
              <w:t>器械自动识别，即插即用。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rPr>
              <w:t>▲</w:t>
            </w:r>
            <w:r>
              <w:rPr>
                <w:rFonts w:hint="eastAsia"/>
                <w:lang w:val="en-US" w:eastAsia="zh-CN"/>
              </w:rPr>
              <w:t>9</w:t>
            </w:r>
            <w:r>
              <w:rPr>
                <w:rFonts w:hint="eastAsia"/>
              </w:rPr>
              <w:t>.3</w:t>
            </w:r>
          </w:p>
        </w:tc>
        <w:tc>
          <w:tcPr>
            <w:tcW w:w="7452" w:type="dxa"/>
            <w:vAlign w:val="center"/>
          </w:tcPr>
          <w:p>
            <w:pPr>
              <w:widowControl/>
            </w:pPr>
            <w:r>
              <w:rPr>
                <w:rFonts w:hint="eastAsia"/>
              </w:rPr>
              <w:t>防止热扩散</w:t>
            </w:r>
            <w:r>
              <w:rPr>
                <w:rFonts w:hint="eastAsia"/>
                <w:lang w:eastAsia="zh-CN"/>
              </w:rPr>
              <w:t>功能</w:t>
            </w:r>
            <w:r>
              <w:rPr>
                <w:rFonts w:hint="eastAsia"/>
              </w:rPr>
              <w:t>，边缘损伤小于2mm。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9</w:t>
            </w:r>
            <w:r>
              <w:rPr>
                <w:rFonts w:hint="eastAsia"/>
              </w:rPr>
              <w:t>.4</w:t>
            </w:r>
          </w:p>
        </w:tc>
        <w:tc>
          <w:tcPr>
            <w:tcW w:w="7452" w:type="dxa"/>
            <w:vAlign w:val="center"/>
          </w:tcPr>
          <w:p>
            <w:pPr>
              <w:widowControl/>
            </w:pPr>
            <w:r>
              <w:rPr>
                <w:rFonts w:hint="eastAsia"/>
              </w:rPr>
              <w:t>可手控、脚控启动，器械可360度旋转，单次切割长度：</w:t>
            </w:r>
            <w:r>
              <w:rPr>
                <w:rFonts w:hint="eastAsia"/>
                <w:lang w:eastAsia="zh-CN"/>
              </w:rPr>
              <w:t>≥</w:t>
            </w:r>
            <w:r>
              <w:rPr>
                <w:rFonts w:hint="eastAsia"/>
              </w:rPr>
              <w:t>18mm；有锁推刀的限位锁。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9</w:t>
            </w:r>
            <w:r>
              <w:rPr>
                <w:rFonts w:hint="eastAsia"/>
              </w:rPr>
              <w:t>.5</w:t>
            </w:r>
          </w:p>
        </w:tc>
        <w:tc>
          <w:tcPr>
            <w:tcW w:w="7452" w:type="dxa"/>
            <w:vAlign w:val="center"/>
          </w:tcPr>
          <w:p>
            <w:pPr>
              <w:widowControl/>
            </w:pPr>
            <w:r>
              <w:rPr>
                <w:rFonts w:hint="eastAsia"/>
              </w:rPr>
              <w:t>器械头端闭合离断距离长≤18mm。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9</w:t>
            </w:r>
            <w:r>
              <w:rPr>
                <w:rFonts w:hint="eastAsia"/>
              </w:rPr>
              <w:t>.6</w:t>
            </w:r>
          </w:p>
        </w:tc>
        <w:tc>
          <w:tcPr>
            <w:tcW w:w="7452" w:type="dxa"/>
            <w:vAlign w:val="center"/>
          </w:tcPr>
          <w:p>
            <w:pPr>
              <w:widowControl/>
            </w:pPr>
            <w:r>
              <w:rPr>
                <w:rFonts w:hint="eastAsia"/>
              </w:rPr>
              <w:t>一次性配件提供至少有三种规格型号，分别是开放手术（200mm +/-5%轴长），腔镜手术（350mm+/-5%轴长），加长腔镜（肥胖病人）（450mm+/-5%轴长）。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default" w:eastAsia="宋体"/>
                <w:b/>
                <w:bCs/>
                <w:lang w:val="en-US" w:eastAsia="zh-CN"/>
              </w:rPr>
            </w:pPr>
            <w:r>
              <w:rPr>
                <w:rFonts w:hint="eastAsia"/>
                <w:b/>
                <w:bCs/>
                <w:lang w:val="en-US" w:eastAsia="zh-CN"/>
              </w:rPr>
              <w:t>10</w:t>
            </w:r>
          </w:p>
        </w:tc>
        <w:tc>
          <w:tcPr>
            <w:tcW w:w="7452" w:type="dxa"/>
            <w:vAlign w:val="center"/>
          </w:tcPr>
          <w:p>
            <w:pPr>
              <w:widowControl/>
              <w:rPr>
                <w:b/>
                <w:bCs/>
              </w:rPr>
            </w:pPr>
            <w:r>
              <w:rPr>
                <w:rFonts w:hint="eastAsia"/>
                <w:b/>
                <w:bCs/>
              </w:rPr>
              <w:t>双极电切电凝剪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10</w:t>
            </w:r>
            <w:r>
              <w:rPr>
                <w:rFonts w:hint="eastAsia"/>
              </w:rPr>
              <w:t>.1</w:t>
            </w:r>
          </w:p>
        </w:tc>
        <w:tc>
          <w:tcPr>
            <w:tcW w:w="7452" w:type="dxa"/>
            <w:vAlign w:val="center"/>
          </w:tcPr>
          <w:p>
            <w:pPr>
              <w:widowControl/>
            </w:pPr>
            <w:r>
              <w:rPr>
                <w:rFonts w:hint="eastAsia"/>
              </w:rPr>
              <w:t>器械可高温、高压消毒重复使用。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10</w:t>
            </w:r>
            <w:r>
              <w:rPr>
                <w:rFonts w:hint="eastAsia"/>
              </w:rPr>
              <w:t>.2</w:t>
            </w:r>
          </w:p>
        </w:tc>
        <w:tc>
          <w:tcPr>
            <w:tcW w:w="7452" w:type="dxa"/>
            <w:vAlign w:val="center"/>
          </w:tcPr>
          <w:p>
            <w:pPr>
              <w:widowControl/>
              <w:rPr>
                <w:color w:val="auto"/>
              </w:rPr>
            </w:pPr>
            <w:r>
              <w:rPr>
                <w:rFonts w:hint="eastAsia"/>
                <w:color w:val="auto"/>
              </w:rPr>
              <w:t>腔镜器械由剪芯、套管、手柄、连线组成，如有损坏可独立更换每个配件。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10</w:t>
            </w:r>
            <w:r>
              <w:rPr>
                <w:rFonts w:hint="eastAsia"/>
              </w:rPr>
              <w:t>.3</w:t>
            </w:r>
          </w:p>
        </w:tc>
        <w:tc>
          <w:tcPr>
            <w:tcW w:w="7452" w:type="dxa"/>
            <w:vAlign w:val="center"/>
          </w:tcPr>
          <w:p>
            <w:pPr>
              <w:widowControl/>
              <w:rPr>
                <w:color w:val="auto"/>
              </w:rPr>
            </w:pPr>
            <w:r>
              <w:rPr>
                <w:rFonts w:hint="eastAsia"/>
                <w:color w:val="auto"/>
              </w:rPr>
              <w:t>器械自动识别，即插即用。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rPr>
              <w:t>▲</w:t>
            </w:r>
            <w:r>
              <w:rPr>
                <w:rFonts w:hint="eastAsia"/>
                <w:lang w:val="en-US" w:eastAsia="zh-CN"/>
              </w:rPr>
              <w:t>10</w:t>
            </w:r>
            <w:r>
              <w:rPr>
                <w:rFonts w:hint="eastAsia"/>
              </w:rPr>
              <w:t>.4</w:t>
            </w:r>
          </w:p>
        </w:tc>
        <w:tc>
          <w:tcPr>
            <w:tcW w:w="7452" w:type="dxa"/>
            <w:vAlign w:val="center"/>
          </w:tcPr>
          <w:p>
            <w:pPr>
              <w:widowControl/>
              <w:rPr>
                <w:color w:val="auto"/>
              </w:rPr>
            </w:pPr>
            <w:r>
              <w:rPr>
                <w:rFonts w:hint="eastAsia"/>
                <w:color w:val="auto"/>
              </w:rPr>
              <w:t>能够完成腔镜下0-3mm</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血管组织的边凝边切、分离功能。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default" w:eastAsia="宋体"/>
                <w:b/>
                <w:bCs/>
                <w:lang w:val="en-US" w:eastAsia="zh-CN"/>
              </w:rPr>
            </w:pPr>
            <w:r>
              <w:rPr>
                <w:rFonts w:hint="eastAsia"/>
                <w:b/>
                <w:bCs/>
                <w:lang w:val="en-US" w:eastAsia="zh-CN"/>
              </w:rPr>
              <w:t>11</w:t>
            </w:r>
          </w:p>
        </w:tc>
        <w:tc>
          <w:tcPr>
            <w:tcW w:w="7452" w:type="dxa"/>
            <w:vAlign w:val="center"/>
          </w:tcPr>
          <w:p>
            <w:pPr>
              <w:widowControl/>
              <w:rPr>
                <w:rFonts w:hint="eastAsia"/>
                <w:b/>
                <w:bCs/>
                <w:color w:val="auto"/>
              </w:rPr>
            </w:pPr>
            <w:r>
              <w:rPr>
                <w:rFonts w:hint="eastAsia"/>
                <w:b/>
                <w:bCs/>
                <w:color w:val="auto"/>
              </w:rPr>
              <w:t>等离子电切系统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11</w:t>
            </w:r>
            <w:r>
              <w:rPr>
                <w:rFonts w:hint="eastAsia"/>
              </w:rPr>
              <w:t>.1</w:t>
            </w:r>
          </w:p>
        </w:tc>
        <w:tc>
          <w:tcPr>
            <w:tcW w:w="7452" w:type="dxa"/>
            <w:vAlign w:val="center"/>
          </w:tcPr>
          <w:p>
            <w:pPr>
              <w:widowControl/>
              <w:rPr>
                <w:rFonts w:hint="eastAsia"/>
              </w:rPr>
            </w:pPr>
            <w:r>
              <w:rPr>
                <w:rFonts w:hint="eastAsia"/>
                <w:lang w:eastAsia="zh-CN"/>
              </w:rPr>
              <w:t>至少</w:t>
            </w:r>
            <w:r>
              <w:rPr>
                <w:rFonts w:hint="eastAsia"/>
              </w:rPr>
              <w:t>两种切割模式可选，适用不同阻抗环境，至少8档效果调节，功率自动调节，最大输出功率370W。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pPr>
            <w:r>
              <w:rPr>
                <w:rFonts w:hint="eastAsia"/>
                <w:lang w:val="en-US" w:eastAsia="zh-CN"/>
              </w:rPr>
              <w:t>11</w:t>
            </w:r>
            <w:r>
              <w:rPr>
                <w:rFonts w:hint="eastAsia"/>
              </w:rPr>
              <w:t>.2</w:t>
            </w:r>
          </w:p>
        </w:tc>
        <w:tc>
          <w:tcPr>
            <w:tcW w:w="7452" w:type="dxa"/>
            <w:vAlign w:val="center"/>
          </w:tcPr>
          <w:p>
            <w:pPr>
              <w:widowControl/>
              <w:rPr>
                <w:rFonts w:hint="eastAsia"/>
              </w:rPr>
            </w:pPr>
            <w:r>
              <w:rPr>
                <w:rFonts w:hint="eastAsia"/>
              </w:rPr>
              <w:t>可兼容不同硬镜品牌双极切割手件。即插即用，器械自动识别。</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3. </w:t>
      </w:r>
      <w:r>
        <w:rPr>
          <w:rFonts w:hint="eastAsia" w:ascii="宋体" w:hAnsi="宋体"/>
          <w:sz w:val="24"/>
          <w:u w:val="single"/>
        </w:rPr>
        <w:t>血液回收仪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▲1</w:t>
            </w:r>
          </w:p>
        </w:tc>
        <w:tc>
          <w:tcPr>
            <w:tcW w:w="7452" w:type="dxa"/>
            <w:vAlign w:val="center"/>
          </w:tcPr>
          <w:p>
            <w:pPr>
              <w:rPr>
                <w:rFonts w:hint="eastAsia" w:ascii="宋体" w:hAnsi="宋体"/>
                <w:szCs w:val="21"/>
              </w:rPr>
            </w:pPr>
            <w:r>
              <w:rPr>
                <w:rFonts w:hint="eastAsia" w:ascii="宋体" w:hAnsi="宋体"/>
                <w:szCs w:val="21"/>
              </w:rPr>
              <w:t>连续血液处理，能够不间断处理血液。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2</w:t>
            </w:r>
          </w:p>
        </w:tc>
        <w:tc>
          <w:tcPr>
            <w:tcW w:w="7452" w:type="dxa"/>
            <w:vAlign w:val="center"/>
          </w:tcPr>
          <w:p>
            <w:pPr>
              <w:rPr>
                <w:rFonts w:ascii="宋体" w:hAnsi="宋体"/>
                <w:szCs w:val="21"/>
              </w:rPr>
            </w:pPr>
            <w:r>
              <w:rPr>
                <w:rFonts w:hint="eastAsia" w:ascii="宋体" w:hAnsi="宋体"/>
                <w:szCs w:val="21"/>
              </w:rPr>
              <w:t>具有</w:t>
            </w:r>
            <w:r>
              <w:rPr>
                <w:rFonts w:hint="eastAsia" w:ascii="宋体" w:hAnsi="宋体"/>
                <w:szCs w:val="21"/>
                <w:lang w:eastAsia="zh-CN"/>
              </w:rPr>
              <w:t>至少</w:t>
            </w:r>
            <w:r>
              <w:rPr>
                <w:rFonts w:hint="eastAsia" w:ascii="宋体" w:hAnsi="宋体"/>
                <w:szCs w:val="21"/>
              </w:rPr>
              <w:t>三个泵，失血泵、洗涤红细胞（PRC）泵和盐水泵，每泵各有独立的管路，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▲3</w:t>
            </w:r>
          </w:p>
        </w:tc>
        <w:tc>
          <w:tcPr>
            <w:tcW w:w="7452" w:type="dxa"/>
            <w:vAlign w:val="center"/>
          </w:tcPr>
          <w:p>
            <w:pPr>
              <w:rPr>
                <w:rFonts w:hint="eastAsia" w:ascii="宋体" w:hAnsi="宋体"/>
                <w:szCs w:val="21"/>
              </w:rPr>
            </w:pPr>
            <w:r>
              <w:rPr>
                <w:rFonts w:hint="eastAsia" w:ascii="宋体" w:hAnsi="宋体"/>
                <w:szCs w:val="21"/>
              </w:rPr>
              <w:t>离心机转速不高于2400转／分。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4</w:t>
            </w:r>
          </w:p>
        </w:tc>
        <w:tc>
          <w:tcPr>
            <w:tcW w:w="7452" w:type="dxa"/>
            <w:vAlign w:val="center"/>
          </w:tcPr>
          <w:p>
            <w:pPr>
              <w:rPr>
                <w:rFonts w:hint="eastAsia" w:ascii="宋体" w:hAnsi="宋体"/>
                <w:szCs w:val="21"/>
              </w:rPr>
            </w:pPr>
            <w:r>
              <w:rPr>
                <w:rFonts w:hint="eastAsia" w:ascii="宋体" w:hAnsi="宋体"/>
                <w:szCs w:val="21"/>
              </w:rPr>
              <w:t>离心盘半径&gt;10cm</w:t>
            </w:r>
            <w:r>
              <w:rPr>
                <w:rFonts w:hint="eastAsia" w:ascii="宋体" w:hAnsi="宋体"/>
                <w:szCs w:val="21"/>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5</w:t>
            </w:r>
          </w:p>
        </w:tc>
        <w:tc>
          <w:tcPr>
            <w:tcW w:w="7452" w:type="dxa"/>
            <w:vAlign w:val="center"/>
          </w:tcPr>
          <w:p>
            <w:pPr>
              <w:rPr>
                <w:rFonts w:ascii="宋体" w:hAnsi="宋体"/>
                <w:szCs w:val="21"/>
              </w:rPr>
            </w:pPr>
            <w:r>
              <w:rPr>
                <w:rFonts w:hint="eastAsia" w:ascii="宋体" w:hAnsi="宋体"/>
                <w:szCs w:val="21"/>
              </w:rPr>
              <w:t>清洗出的红细胞压积恒定在60％以上，机器可根据失血压积的高低自动调节进血量。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▲6</w:t>
            </w:r>
          </w:p>
        </w:tc>
        <w:tc>
          <w:tcPr>
            <w:tcW w:w="7452" w:type="dxa"/>
            <w:vAlign w:val="center"/>
          </w:tcPr>
          <w:p>
            <w:pPr>
              <w:rPr>
                <w:rFonts w:ascii="宋体" w:hAnsi="宋体"/>
                <w:szCs w:val="21"/>
              </w:rPr>
            </w:pPr>
            <w:r>
              <w:rPr>
                <w:rFonts w:hint="eastAsia" w:ascii="宋体" w:hAnsi="宋体"/>
                <w:szCs w:val="21"/>
              </w:rPr>
              <w:t>血液处理时不受血量限制，起始失血量达到</w:t>
            </w:r>
            <w:r>
              <w:rPr>
                <w:rFonts w:hint="eastAsia" w:ascii="宋体" w:hAnsi="宋体"/>
                <w:szCs w:val="21"/>
                <w:lang w:eastAsia="zh-CN"/>
              </w:rPr>
              <w:t>≤</w:t>
            </w:r>
            <w:r>
              <w:rPr>
                <w:rFonts w:hint="eastAsia" w:ascii="宋体" w:hAnsi="宋体"/>
                <w:szCs w:val="21"/>
              </w:rPr>
              <w:t>30ml即可开始工作。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▲7</w:t>
            </w:r>
          </w:p>
        </w:tc>
        <w:tc>
          <w:tcPr>
            <w:tcW w:w="7452" w:type="dxa"/>
            <w:vAlign w:val="center"/>
          </w:tcPr>
          <w:p>
            <w:pPr>
              <w:rPr>
                <w:rFonts w:ascii="宋体" w:hAnsi="宋体"/>
                <w:szCs w:val="21"/>
              </w:rPr>
            </w:pPr>
            <w:r>
              <w:rPr>
                <w:rFonts w:hint="eastAsia" w:ascii="宋体" w:hAnsi="宋体"/>
                <w:szCs w:val="21"/>
              </w:rPr>
              <w:t>100％去除失血中的不溶解脂肪，抗凝用的肝素清除率</w:t>
            </w:r>
            <w:r>
              <w:rPr>
                <w:rFonts w:hint="eastAsia" w:ascii="宋体" w:hAnsi="宋体" w:cs="宋体"/>
                <w:szCs w:val="21"/>
              </w:rPr>
              <w:t>≧</w:t>
            </w:r>
            <w:r>
              <w:rPr>
                <w:rFonts w:hint="eastAsia" w:ascii="宋体" w:hAnsi="宋体"/>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▲8</w:t>
            </w:r>
          </w:p>
        </w:tc>
        <w:tc>
          <w:tcPr>
            <w:tcW w:w="7452" w:type="dxa"/>
            <w:vAlign w:val="center"/>
          </w:tcPr>
          <w:p>
            <w:pPr>
              <w:pStyle w:val="74"/>
              <w:ind w:firstLine="0" w:firstLineChars="0"/>
              <w:rPr>
                <w:rFonts w:ascii="宋体" w:hAnsi="宋体"/>
                <w:szCs w:val="21"/>
              </w:rPr>
            </w:pPr>
            <w:r>
              <w:rPr>
                <w:rFonts w:hint="eastAsia" w:ascii="宋体" w:hAnsi="宋体"/>
                <w:szCs w:val="21"/>
              </w:rPr>
              <w:t>耗材离心部件采用分离管腔设计，</w:t>
            </w:r>
            <w:r>
              <w:rPr>
                <w:rFonts w:hint="eastAsia" w:ascii="宋体" w:hAnsi="宋体"/>
                <w:szCs w:val="21"/>
                <w:lang w:val="sv-SE"/>
              </w:rPr>
              <w:t>专门液体输送管路≥4路，无共用管路部分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9</w:t>
            </w:r>
          </w:p>
        </w:tc>
        <w:tc>
          <w:tcPr>
            <w:tcW w:w="7452" w:type="dxa"/>
            <w:vAlign w:val="center"/>
          </w:tcPr>
          <w:p>
            <w:pPr>
              <w:rPr>
                <w:rFonts w:ascii="宋体" w:hAnsi="宋体"/>
                <w:szCs w:val="21"/>
              </w:rPr>
            </w:pPr>
            <w:r>
              <w:rPr>
                <w:rFonts w:hint="eastAsia" w:ascii="宋体" w:hAnsi="宋体"/>
                <w:szCs w:val="21"/>
              </w:rPr>
              <w:t>设备具有≥6个血液清洗程序，各种清洗程序成品回收速度范围为：</w:t>
            </w:r>
          </w:p>
          <w:p>
            <w:pPr>
              <w:widowControl/>
              <w:numPr>
                <w:ilvl w:val="1"/>
                <w:numId w:val="18"/>
              </w:numPr>
              <w:adjustRightInd w:val="0"/>
              <w:snapToGrid w:val="0"/>
              <w:ind w:firstLine="420" w:firstLineChars="200"/>
              <w:rPr>
                <w:rFonts w:ascii="宋体" w:hAnsi="宋体"/>
                <w:szCs w:val="21"/>
              </w:rPr>
            </w:pPr>
            <w:r>
              <w:rPr>
                <w:rFonts w:hint="eastAsia" w:ascii="宋体" w:hAnsi="宋体"/>
                <w:szCs w:val="21"/>
              </w:rPr>
              <w:t>高质量清洗：</w:t>
            </w:r>
            <w:r>
              <w:rPr>
                <w:rFonts w:hint="eastAsia" w:ascii="宋体" w:hAnsi="宋体" w:cs="宋体"/>
                <w:szCs w:val="21"/>
              </w:rPr>
              <w:t>≥</w:t>
            </w:r>
            <w:r>
              <w:rPr>
                <w:rFonts w:hint="eastAsia" w:ascii="宋体" w:hAnsi="宋体"/>
                <w:szCs w:val="21"/>
              </w:rPr>
              <w:t>20ml/min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rPr>
              <w:t>儿科手</w:t>
            </w:r>
            <w:r>
              <w:rPr>
                <w:rFonts w:hint="eastAsia" w:ascii="宋体" w:hAnsi="宋体"/>
                <w:szCs w:val="21"/>
                <w:lang w:val="sv-SE"/>
              </w:rPr>
              <w:t>术清洗：</w:t>
            </w:r>
            <w:r>
              <w:rPr>
                <w:rFonts w:hint="eastAsia" w:ascii="宋体" w:hAnsi="宋体" w:cs="宋体"/>
                <w:szCs w:val="21"/>
              </w:rPr>
              <w:t>≥</w:t>
            </w:r>
            <w:r>
              <w:rPr>
                <w:rFonts w:hint="eastAsia" w:ascii="宋体" w:hAnsi="宋体"/>
                <w:szCs w:val="21"/>
                <w:lang w:val="sv-SE"/>
              </w:rPr>
              <w:t>25ml/min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标准清洗：</w:t>
            </w:r>
            <w:r>
              <w:rPr>
                <w:rFonts w:hint="eastAsia" w:ascii="宋体" w:hAnsi="宋体" w:cs="宋体"/>
                <w:szCs w:val="21"/>
              </w:rPr>
              <w:t>≥</w:t>
            </w:r>
            <w:r>
              <w:rPr>
                <w:rFonts w:hint="eastAsia" w:ascii="宋体" w:hAnsi="宋体"/>
                <w:szCs w:val="21"/>
                <w:lang w:val="sv-SE"/>
              </w:rPr>
              <w:t>20ml/min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大流量清洗：</w:t>
            </w:r>
            <w:r>
              <w:rPr>
                <w:rFonts w:hint="eastAsia" w:ascii="宋体" w:hAnsi="宋体" w:cs="宋体"/>
                <w:szCs w:val="21"/>
              </w:rPr>
              <w:t>≥</w:t>
            </w:r>
            <w:r>
              <w:rPr>
                <w:rFonts w:hint="eastAsia" w:ascii="宋体" w:hAnsi="宋体"/>
                <w:szCs w:val="21"/>
                <w:lang w:val="sv-SE"/>
              </w:rPr>
              <w:t>30ml/min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超大流量清洗：</w:t>
            </w:r>
            <w:r>
              <w:rPr>
                <w:rFonts w:hint="eastAsia" w:ascii="宋体" w:hAnsi="宋体" w:cs="宋体"/>
                <w:szCs w:val="21"/>
              </w:rPr>
              <w:t>≥</w:t>
            </w:r>
            <w:r>
              <w:rPr>
                <w:rFonts w:hint="eastAsia" w:ascii="宋体" w:hAnsi="宋体"/>
                <w:szCs w:val="21"/>
                <w:lang w:val="sv-SE"/>
              </w:rPr>
              <w:t>50ml/min</w:t>
            </w:r>
          </w:p>
          <w:p>
            <w:pPr>
              <w:widowControl/>
              <w:numPr>
                <w:ilvl w:val="1"/>
                <w:numId w:val="18"/>
              </w:numPr>
              <w:adjustRightInd w:val="0"/>
              <w:snapToGrid w:val="0"/>
              <w:ind w:firstLine="420" w:firstLineChars="200"/>
              <w:rPr>
                <w:rFonts w:ascii="宋体" w:hAnsi="宋体"/>
                <w:szCs w:val="21"/>
              </w:rPr>
            </w:pPr>
            <w:r>
              <w:rPr>
                <w:rFonts w:hint="eastAsia" w:ascii="宋体" w:hAnsi="宋体"/>
                <w:szCs w:val="21"/>
                <w:lang w:val="sv-SE"/>
              </w:rPr>
              <w:t>紧急清洗：</w:t>
            </w:r>
            <w:r>
              <w:rPr>
                <w:rFonts w:hint="eastAsia" w:ascii="宋体" w:hAnsi="宋体" w:cs="宋体"/>
                <w:szCs w:val="21"/>
              </w:rPr>
              <w:t>≥</w:t>
            </w:r>
            <w:r>
              <w:rPr>
                <w:rFonts w:hint="eastAsia" w:ascii="宋体" w:hAnsi="宋体"/>
                <w:szCs w:val="21"/>
                <w:lang w:val="sv-SE"/>
              </w:rPr>
              <w:t>100ml/min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10</w:t>
            </w:r>
          </w:p>
        </w:tc>
        <w:tc>
          <w:tcPr>
            <w:tcW w:w="7452" w:type="dxa"/>
            <w:vAlign w:val="center"/>
          </w:tcPr>
          <w:p>
            <w:pPr>
              <w:rPr>
                <w:rFonts w:ascii="宋体" w:hAnsi="宋体"/>
                <w:szCs w:val="21"/>
              </w:rPr>
            </w:pPr>
            <w:r>
              <w:rPr>
                <w:rFonts w:hint="eastAsia" w:ascii="宋体" w:hAnsi="宋体"/>
                <w:szCs w:val="21"/>
                <w:lang w:val="sv-SE"/>
              </w:rPr>
              <w:t>全中文操作界面：全部操作系统汉化。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11</w:t>
            </w:r>
          </w:p>
        </w:tc>
        <w:tc>
          <w:tcPr>
            <w:tcW w:w="7452" w:type="dxa"/>
            <w:vAlign w:val="center"/>
          </w:tcPr>
          <w:p>
            <w:pPr>
              <w:rPr>
                <w:rFonts w:hint="eastAsia" w:ascii="宋体" w:hAnsi="宋体" w:eastAsia="宋体"/>
                <w:szCs w:val="21"/>
                <w:lang w:eastAsia="zh-CN"/>
              </w:rPr>
            </w:pPr>
            <w:r>
              <w:rPr>
                <w:rFonts w:hint="eastAsia" w:ascii="宋体" w:hAnsi="宋体"/>
                <w:szCs w:val="21"/>
                <w:lang w:val="sv-SE"/>
              </w:rPr>
              <w:t>全电脑控制：所有处理过程均由电脑控制</w:t>
            </w:r>
            <w:r>
              <w:rPr>
                <w:rFonts w:hint="eastAsia" w:ascii="宋体" w:hAnsi="宋体"/>
                <w:szCs w:val="21"/>
                <w:lang w:val="sv-S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12</w:t>
            </w:r>
          </w:p>
        </w:tc>
        <w:tc>
          <w:tcPr>
            <w:tcW w:w="7452" w:type="dxa"/>
            <w:vAlign w:val="center"/>
          </w:tcPr>
          <w:p>
            <w:pPr>
              <w:rPr>
                <w:rFonts w:ascii="宋体" w:hAnsi="宋体"/>
                <w:szCs w:val="21"/>
              </w:rPr>
            </w:pPr>
            <w:r>
              <w:rPr>
                <w:rFonts w:hint="eastAsia" w:ascii="宋体" w:hAnsi="宋体"/>
                <w:szCs w:val="21"/>
                <w:lang w:val="sv-SE"/>
              </w:rPr>
              <w:t>电动离心机盖锁带有安全传感器。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13</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安装便捷：自动安装泵管、自动锁定离心机、大屏图文显示器、在线帮助功能。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14</w:t>
            </w:r>
          </w:p>
        </w:tc>
        <w:tc>
          <w:tcPr>
            <w:tcW w:w="7452" w:type="dxa"/>
            <w:vAlign w:val="center"/>
          </w:tcPr>
          <w:p>
            <w:pPr>
              <w:rPr>
                <w:rFonts w:ascii="宋体" w:hAnsi="宋体"/>
                <w:szCs w:val="21"/>
              </w:rPr>
            </w:pPr>
            <w:r>
              <w:rPr>
                <w:rFonts w:hint="eastAsia" w:ascii="宋体" w:hAnsi="宋体"/>
                <w:szCs w:val="21"/>
                <w:lang w:val="sv-SE"/>
              </w:rPr>
              <w:t>设备自带负压调节装置，可根据需要调节提示声音，</w:t>
            </w:r>
            <w:r>
              <w:rPr>
                <w:rFonts w:hint="eastAsia" w:ascii="宋体" w:hAnsi="宋体" w:cs="宋体"/>
                <w:szCs w:val="21"/>
              </w:rPr>
              <w:t>≧7级可调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15</w:t>
            </w:r>
          </w:p>
        </w:tc>
        <w:tc>
          <w:tcPr>
            <w:tcW w:w="7452" w:type="dxa"/>
            <w:vAlign w:val="center"/>
          </w:tcPr>
          <w:p>
            <w:pPr>
              <w:rPr>
                <w:rFonts w:hint="eastAsia" w:ascii="宋体" w:hAnsi="宋体" w:eastAsia="宋体"/>
                <w:szCs w:val="21"/>
                <w:lang w:eastAsia="zh-CN"/>
              </w:rPr>
            </w:pPr>
            <w:r>
              <w:rPr>
                <w:rFonts w:hint="eastAsia" w:ascii="宋体" w:hAnsi="宋体"/>
                <w:szCs w:val="21"/>
                <w:lang w:val="sv-SE"/>
              </w:rPr>
              <w:t>自带整机电池，即使设备外部电源切断仍可进行</w:t>
            </w:r>
            <w:r>
              <w:rPr>
                <w:rFonts w:hint="eastAsia" w:ascii="宋体" w:hAnsi="宋体" w:cs="宋体"/>
                <w:szCs w:val="21"/>
              </w:rPr>
              <w:t>≧</w:t>
            </w:r>
            <w:r>
              <w:rPr>
                <w:rFonts w:hint="eastAsia" w:ascii="宋体" w:hAnsi="宋体"/>
                <w:szCs w:val="21"/>
                <w:lang w:val="sv-SE"/>
              </w:rPr>
              <w:t>10min操作</w:t>
            </w:r>
            <w:r>
              <w:rPr>
                <w:rFonts w:hint="eastAsia" w:ascii="宋体" w:hAnsi="宋体"/>
                <w:szCs w:val="21"/>
                <w:lang w:val="sv-S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16</w:t>
            </w:r>
          </w:p>
        </w:tc>
        <w:tc>
          <w:tcPr>
            <w:tcW w:w="7452" w:type="dxa"/>
            <w:vAlign w:val="center"/>
          </w:tcPr>
          <w:p>
            <w:pPr>
              <w:pStyle w:val="74"/>
              <w:ind w:firstLine="0" w:firstLineChars="0"/>
              <w:rPr>
                <w:rFonts w:hint="eastAsia" w:ascii="宋体" w:hAnsi="宋体" w:eastAsia="宋体"/>
                <w:szCs w:val="21"/>
                <w:lang w:eastAsia="zh-CN"/>
              </w:rPr>
            </w:pPr>
            <w:r>
              <w:rPr>
                <w:rFonts w:hint="eastAsia" w:ascii="宋体" w:hAnsi="宋体"/>
                <w:szCs w:val="21"/>
                <w:lang w:val="sv-SE"/>
              </w:rPr>
              <w:t>防电击能力</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17</w:t>
            </w:r>
          </w:p>
        </w:tc>
        <w:tc>
          <w:tcPr>
            <w:tcW w:w="7452" w:type="dxa"/>
            <w:vAlign w:val="center"/>
          </w:tcPr>
          <w:p>
            <w:pPr>
              <w:pStyle w:val="74"/>
              <w:ind w:firstLine="0" w:firstLineChars="0"/>
              <w:rPr>
                <w:rFonts w:ascii="宋体" w:hAnsi="宋体"/>
                <w:szCs w:val="21"/>
              </w:rPr>
            </w:pPr>
            <w:r>
              <w:rPr>
                <w:rFonts w:hint="eastAsia" w:ascii="宋体" w:hAnsi="宋体"/>
                <w:szCs w:val="21"/>
                <w:lang w:val="sv-SE"/>
              </w:rPr>
              <w:t>PRC管破裂时的防护：PRC流动故障（如：夹子被关闭）可被CCD监视器检测到。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18</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声压水平：≤5</w:t>
            </w:r>
            <w:r>
              <w:rPr>
                <w:rFonts w:ascii="宋体" w:hAnsi="宋体"/>
                <w:szCs w:val="21"/>
                <w:lang w:val="sv-SE"/>
              </w:rPr>
              <w:t>8</w:t>
            </w:r>
            <w:r>
              <w:rPr>
                <w:rFonts w:hint="eastAsia" w:ascii="宋体" w:hAnsi="宋体"/>
                <w:szCs w:val="21"/>
                <w:lang w:val="sv-SE"/>
              </w:rPr>
              <w:t>d</w:t>
            </w:r>
            <w:r>
              <w:rPr>
                <w:rFonts w:ascii="宋体" w:hAnsi="宋体"/>
                <w:szCs w:val="21"/>
                <w:lang w:val="sv-SE"/>
              </w:rPr>
              <w:t>B</w:t>
            </w:r>
            <w:r>
              <w:rPr>
                <w:rFonts w:hint="eastAsia" w:ascii="宋体" w:hAnsi="宋体"/>
                <w:szCs w:val="21"/>
                <w:lang w:val="sv-SE"/>
              </w:rPr>
              <w:t>（</w:t>
            </w:r>
            <w:r>
              <w:rPr>
                <w:rFonts w:ascii="宋体" w:hAnsi="宋体"/>
                <w:szCs w:val="21"/>
                <w:lang w:val="sv-SE"/>
              </w:rPr>
              <w:t>A</w:t>
            </w:r>
            <w:r>
              <w:rPr>
                <w:rFonts w:hint="eastAsia" w:ascii="宋体" w:hAnsi="宋体"/>
                <w:szCs w:val="21"/>
                <w:lang w:val="sv-S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19</w:t>
            </w:r>
          </w:p>
        </w:tc>
        <w:tc>
          <w:tcPr>
            <w:tcW w:w="7452" w:type="dxa"/>
            <w:vAlign w:val="center"/>
          </w:tcPr>
          <w:p>
            <w:pPr>
              <w:pStyle w:val="74"/>
              <w:ind w:firstLine="0" w:firstLineChars="0"/>
              <w:rPr>
                <w:rFonts w:ascii="宋体" w:hAnsi="宋体"/>
                <w:szCs w:val="21"/>
              </w:rPr>
            </w:pPr>
            <w:r>
              <w:rPr>
                <w:rFonts w:hint="eastAsia" w:ascii="宋体" w:hAnsi="宋体"/>
                <w:szCs w:val="21"/>
                <w:lang w:val="sv-SE"/>
              </w:rPr>
              <w:t>血泵以恒定的速度2</w:t>
            </w:r>
            <w:r>
              <w:rPr>
                <w:rFonts w:ascii="宋体" w:hAnsi="宋体"/>
                <w:szCs w:val="21"/>
                <w:lang w:val="sv-SE"/>
              </w:rPr>
              <w:t>00</w:t>
            </w:r>
            <w:r>
              <w:rPr>
                <w:rFonts w:hint="eastAsia" w:ascii="宋体" w:hAnsi="宋体"/>
                <w:szCs w:val="21"/>
                <w:lang w:val="sv-SE"/>
              </w:rPr>
              <w:t>-</w:t>
            </w:r>
            <w:r>
              <w:rPr>
                <w:rFonts w:ascii="宋体" w:hAnsi="宋体"/>
                <w:szCs w:val="21"/>
                <w:lang w:val="sv-SE"/>
              </w:rPr>
              <w:t>350</w:t>
            </w:r>
            <w:r>
              <w:rPr>
                <w:rFonts w:hint="eastAsia" w:ascii="宋体" w:hAnsi="宋体"/>
                <w:szCs w:val="21"/>
                <w:lang w:val="sv-SE"/>
              </w:rPr>
              <w:t>ml</w:t>
            </w:r>
            <w:r>
              <w:rPr>
                <w:rFonts w:ascii="宋体" w:hAnsi="宋体"/>
                <w:szCs w:val="21"/>
                <w:lang w:val="sv-SE"/>
              </w:rPr>
              <w:t>/</w:t>
            </w:r>
            <w:r>
              <w:rPr>
                <w:rFonts w:hint="eastAsia" w:ascii="宋体" w:hAnsi="宋体"/>
                <w:szCs w:val="21"/>
                <w:lang w:val="sv-SE"/>
              </w:rPr>
              <w:t>min驱动收集血液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20</w:t>
            </w:r>
          </w:p>
        </w:tc>
        <w:tc>
          <w:tcPr>
            <w:tcW w:w="7452" w:type="dxa"/>
            <w:vAlign w:val="center"/>
          </w:tcPr>
          <w:p>
            <w:pPr>
              <w:pStyle w:val="74"/>
              <w:ind w:firstLine="0" w:firstLineChars="0"/>
              <w:rPr>
                <w:rFonts w:ascii="宋体" w:hAnsi="宋体"/>
                <w:color w:val="auto"/>
                <w:szCs w:val="21"/>
              </w:rPr>
            </w:pPr>
            <w:r>
              <w:rPr>
                <w:rFonts w:hint="eastAsia" w:ascii="宋体" w:hAnsi="宋体"/>
                <w:color w:val="auto"/>
                <w:szCs w:val="21"/>
                <w:lang w:val="sv-SE"/>
              </w:rPr>
              <w:t>贮存温度范围：-</w:t>
            </w:r>
            <w:r>
              <w:rPr>
                <w:rFonts w:ascii="宋体" w:hAnsi="宋体"/>
                <w:color w:val="auto"/>
                <w:szCs w:val="21"/>
                <w:lang w:val="sv-SE"/>
              </w:rPr>
              <w:t>15</w:t>
            </w:r>
            <w:r>
              <w:rPr>
                <w:rFonts w:hint="eastAsia" w:ascii="宋体" w:hAnsi="宋体"/>
                <w:color w:val="auto"/>
                <w:szCs w:val="21"/>
                <w:lang w:val="sv-SE"/>
              </w:rPr>
              <w:t>℃至+</w:t>
            </w:r>
            <w:r>
              <w:rPr>
                <w:rFonts w:ascii="宋体" w:hAnsi="宋体"/>
                <w:color w:val="auto"/>
                <w:szCs w:val="21"/>
                <w:lang w:val="sv-SE"/>
              </w:rPr>
              <w:t>50</w:t>
            </w:r>
            <w:r>
              <w:rPr>
                <w:rFonts w:hint="eastAsia" w:ascii="宋体" w:hAnsi="宋体" w:cs="宋体"/>
                <w:color w:val="auto"/>
                <w:szCs w:val="21"/>
                <w:lang w:val="sv-SE"/>
              </w:rPr>
              <w:t>℃</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21</w:t>
            </w:r>
          </w:p>
        </w:tc>
        <w:tc>
          <w:tcPr>
            <w:tcW w:w="7452" w:type="dxa"/>
            <w:vAlign w:val="center"/>
          </w:tcPr>
          <w:p>
            <w:pPr>
              <w:pStyle w:val="74"/>
              <w:ind w:firstLine="0" w:firstLineChars="0"/>
              <w:rPr>
                <w:rFonts w:ascii="宋体" w:hAnsi="宋体"/>
                <w:color w:val="auto"/>
                <w:szCs w:val="21"/>
                <w:lang w:val="sv-SE"/>
              </w:rPr>
            </w:pPr>
            <w:r>
              <w:rPr>
                <w:rFonts w:hint="eastAsia" w:ascii="宋体" w:hAnsi="宋体"/>
                <w:color w:val="auto"/>
                <w:szCs w:val="21"/>
                <w:lang w:val="sv-SE"/>
              </w:rPr>
              <w:t>静脉输液架：</w:t>
            </w:r>
          </w:p>
          <w:p>
            <w:pPr>
              <w:pStyle w:val="74"/>
              <w:ind w:firstLine="0" w:firstLineChars="0"/>
              <w:rPr>
                <w:rFonts w:ascii="宋体" w:hAnsi="宋体"/>
                <w:color w:val="auto"/>
                <w:szCs w:val="21"/>
                <w:lang w:val="sv-SE"/>
              </w:rPr>
            </w:pPr>
            <w:r>
              <w:rPr>
                <w:rFonts w:hint="eastAsia" w:ascii="宋体" w:hAnsi="宋体"/>
                <w:color w:val="auto"/>
                <w:szCs w:val="21"/>
                <w:lang w:val="sv-SE"/>
              </w:rPr>
              <w:t>最大安全负荷：</w:t>
            </w:r>
          </w:p>
          <w:p>
            <w:pPr>
              <w:pStyle w:val="74"/>
              <w:ind w:firstLine="0" w:firstLineChars="0"/>
              <w:rPr>
                <w:rFonts w:ascii="宋体" w:hAnsi="宋体"/>
                <w:color w:val="auto"/>
                <w:szCs w:val="21"/>
                <w:lang w:val="sv-SE"/>
              </w:rPr>
            </w:pPr>
            <w:r>
              <w:rPr>
                <w:rFonts w:hint="eastAsia" w:ascii="宋体" w:hAnsi="宋体"/>
                <w:color w:val="auto"/>
                <w:szCs w:val="21"/>
                <w:lang w:val="sv-SE"/>
              </w:rPr>
              <w:t>下面踏板 每个悬挂钩≥</w:t>
            </w:r>
            <w:r>
              <w:rPr>
                <w:rFonts w:ascii="宋体" w:hAnsi="宋体"/>
                <w:color w:val="auto"/>
                <w:szCs w:val="21"/>
                <w:lang w:val="sv-SE"/>
              </w:rPr>
              <w:t>3</w:t>
            </w:r>
            <w:r>
              <w:rPr>
                <w:rFonts w:hint="eastAsia" w:ascii="宋体" w:hAnsi="宋体"/>
                <w:color w:val="auto"/>
                <w:szCs w:val="21"/>
                <w:lang w:val="sv-SE"/>
              </w:rPr>
              <w:t>kg</w:t>
            </w:r>
          </w:p>
          <w:p>
            <w:pPr>
              <w:pStyle w:val="74"/>
              <w:ind w:firstLine="0" w:firstLineChars="0"/>
              <w:rPr>
                <w:rFonts w:ascii="宋体" w:hAnsi="宋体"/>
                <w:color w:val="auto"/>
                <w:szCs w:val="21"/>
              </w:rPr>
            </w:pPr>
            <w:r>
              <w:rPr>
                <w:rFonts w:hint="eastAsia" w:ascii="宋体" w:hAnsi="宋体"/>
                <w:color w:val="auto"/>
                <w:szCs w:val="21"/>
                <w:lang w:val="sv-SE"/>
              </w:rPr>
              <w:t>上面踏板 每个悬挂钩≥1kg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22</w:t>
            </w:r>
          </w:p>
        </w:tc>
        <w:tc>
          <w:tcPr>
            <w:tcW w:w="7452" w:type="dxa"/>
            <w:vAlign w:val="center"/>
          </w:tcPr>
          <w:p>
            <w:pPr>
              <w:pStyle w:val="74"/>
              <w:ind w:firstLine="0" w:firstLineChars="0"/>
              <w:rPr>
                <w:rFonts w:ascii="宋体" w:hAnsi="宋体"/>
                <w:color w:val="auto"/>
                <w:szCs w:val="21"/>
              </w:rPr>
            </w:pPr>
            <w:r>
              <w:rPr>
                <w:rFonts w:hint="eastAsia" w:ascii="宋体" w:hAnsi="宋体"/>
                <w:color w:val="auto"/>
                <w:szCs w:val="21"/>
                <w:lang w:val="sv-SE"/>
              </w:rPr>
              <w:t>线电压：1</w:t>
            </w:r>
            <w:r>
              <w:rPr>
                <w:rFonts w:ascii="宋体" w:hAnsi="宋体"/>
                <w:color w:val="auto"/>
                <w:szCs w:val="21"/>
                <w:lang w:val="sv-SE"/>
              </w:rPr>
              <w:t>00</w:t>
            </w:r>
            <w:r>
              <w:rPr>
                <w:rFonts w:hint="eastAsia" w:ascii="宋体" w:hAnsi="宋体"/>
                <w:color w:val="auto"/>
                <w:szCs w:val="21"/>
                <w:lang w:val="sv-SE"/>
              </w:rPr>
              <w:t>-</w:t>
            </w:r>
            <w:r>
              <w:rPr>
                <w:rFonts w:ascii="宋体" w:hAnsi="宋体"/>
                <w:color w:val="auto"/>
                <w:szCs w:val="21"/>
                <w:lang w:val="sv-SE"/>
              </w:rPr>
              <w:t>240VAC,</w:t>
            </w:r>
            <w:r>
              <w:rPr>
                <w:rFonts w:hint="eastAsia" w:ascii="宋体" w:hAnsi="宋体"/>
                <w:color w:val="auto"/>
                <w:szCs w:val="21"/>
                <w:lang w:val="sv-SE"/>
              </w:rPr>
              <w:t>±</w:t>
            </w:r>
            <w:r>
              <w:rPr>
                <w:rFonts w:ascii="宋体" w:hAnsi="宋体"/>
                <w:color w:val="auto"/>
                <w:szCs w:val="21"/>
                <w:lang w:val="sv-SE"/>
              </w:rPr>
              <w:t>10</w:t>
            </w:r>
            <w:r>
              <w:rPr>
                <w:rFonts w:hint="eastAsia" w:ascii="宋体" w:hAnsi="宋体"/>
                <w:color w:val="auto"/>
                <w:szCs w:val="21"/>
                <w:lang w:val="sv-SE"/>
              </w:rPr>
              <w:t>%，</w:t>
            </w:r>
            <w:r>
              <w:rPr>
                <w:rFonts w:ascii="宋体" w:hAnsi="宋体"/>
                <w:color w:val="auto"/>
                <w:szCs w:val="21"/>
                <w:lang w:val="sv-SE"/>
              </w:rPr>
              <w:t>50</w:t>
            </w:r>
            <w:r>
              <w:rPr>
                <w:rFonts w:hint="eastAsia" w:ascii="宋体" w:hAnsi="宋体"/>
                <w:color w:val="auto"/>
                <w:szCs w:val="21"/>
                <w:lang w:val="sv-SE"/>
              </w:rPr>
              <w:t>-</w:t>
            </w:r>
            <w:r>
              <w:rPr>
                <w:rFonts w:ascii="宋体" w:hAnsi="宋体"/>
                <w:color w:val="auto"/>
                <w:szCs w:val="21"/>
                <w:lang w:val="sv-SE"/>
              </w:rPr>
              <w:t>60H</w:t>
            </w:r>
            <w:r>
              <w:rPr>
                <w:rFonts w:hint="eastAsia" w:ascii="宋体" w:hAnsi="宋体"/>
                <w:color w:val="auto"/>
                <w:szCs w:val="21"/>
                <w:lang w:val="sv-SE"/>
              </w:rPr>
              <w:t>z</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23</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功率：≤7</w:t>
            </w:r>
            <w:r>
              <w:rPr>
                <w:rFonts w:ascii="宋体" w:hAnsi="宋体"/>
                <w:szCs w:val="21"/>
                <w:lang w:val="sv-SE"/>
              </w:rPr>
              <w:t>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24</w:t>
            </w:r>
          </w:p>
        </w:tc>
        <w:tc>
          <w:tcPr>
            <w:tcW w:w="7452" w:type="dxa"/>
            <w:vAlign w:val="center"/>
          </w:tcPr>
          <w:p>
            <w:pPr>
              <w:pStyle w:val="74"/>
              <w:ind w:firstLine="0" w:firstLineChars="0"/>
              <w:rPr>
                <w:rFonts w:ascii="宋体" w:hAnsi="宋体"/>
                <w:szCs w:val="21"/>
              </w:rPr>
            </w:pPr>
            <w:r>
              <w:rPr>
                <w:rFonts w:hint="eastAsia" w:ascii="宋体" w:hAnsi="宋体"/>
                <w:szCs w:val="21"/>
                <w:lang w:val="sv-SE"/>
              </w:rPr>
              <w:t>相对湿度：</w:t>
            </w:r>
            <w:r>
              <w:rPr>
                <w:rFonts w:ascii="宋体" w:hAnsi="宋体"/>
                <w:szCs w:val="21"/>
                <w:lang w:val="sv-SE"/>
              </w:rPr>
              <w:t>30</w:t>
            </w:r>
            <w:r>
              <w:rPr>
                <w:rFonts w:hint="eastAsia" w:ascii="宋体" w:hAnsi="宋体" w:cs="宋体"/>
                <w:szCs w:val="21"/>
                <w:lang w:val="sv-SE"/>
              </w:rPr>
              <w:t>℃至</w:t>
            </w:r>
            <w:r>
              <w:rPr>
                <w:rFonts w:ascii="宋体" w:hAnsi="宋体" w:cs="宋体"/>
                <w:szCs w:val="21"/>
                <w:lang w:val="sv-SE"/>
              </w:rPr>
              <w:t>75</w:t>
            </w:r>
            <w:r>
              <w:rPr>
                <w:rFonts w:hint="eastAsia" w:ascii="宋体" w:hAnsi="宋体" w:cs="宋体"/>
                <w:szCs w:val="21"/>
                <w:lang w:val="sv-SE"/>
              </w:rPr>
              <w:t>℃，临时可高于9</w:t>
            </w:r>
            <w:r>
              <w:rPr>
                <w:rFonts w:hint="eastAsia" w:ascii="宋体" w:hAnsi="宋体" w:cs="宋体"/>
                <w:szCs w:val="21"/>
              </w:rPr>
              <w:t>0</w:t>
            </w:r>
            <w:r>
              <w:rPr>
                <w:rFonts w:hint="eastAsia" w:ascii="宋体" w:hAnsi="宋体" w:cs="宋体"/>
                <w:szCs w:val="21"/>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25</w:t>
            </w:r>
          </w:p>
        </w:tc>
        <w:tc>
          <w:tcPr>
            <w:tcW w:w="7452" w:type="dxa"/>
            <w:vAlign w:val="center"/>
          </w:tcPr>
          <w:p>
            <w:pPr>
              <w:pStyle w:val="74"/>
              <w:ind w:firstLine="0" w:firstLineChars="0"/>
              <w:rPr>
                <w:rFonts w:hint="eastAsia" w:ascii="宋体" w:hAnsi="宋体"/>
                <w:szCs w:val="21"/>
              </w:rPr>
            </w:pPr>
            <w:r>
              <w:rPr>
                <w:rFonts w:hint="eastAsia" w:ascii="宋体" w:hAnsi="宋体"/>
                <w:szCs w:val="21"/>
                <w:lang w:val="sv-SE"/>
              </w:rPr>
              <w:t>具备U</w:t>
            </w:r>
            <w:r>
              <w:rPr>
                <w:rFonts w:ascii="宋体" w:hAnsi="宋体"/>
                <w:szCs w:val="21"/>
                <w:lang w:val="sv-SE"/>
              </w:rPr>
              <w:t>SB</w:t>
            </w:r>
            <w:r>
              <w:rPr>
                <w:rFonts w:hint="eastAsia" w:ascii="宋体" w:hAnsi="宋体"/>
                <w:szCs w:val="21"/>
                <w:lang w:val="sv-SE"/>
              </w:rPr>
              <w:t>接口，用于提取或保存日志文件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26</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具备P</w:t>
            </w:r>
            <w:r>
              <w:rPr>
                <w:rFonts w:ascii="宋体" w:hAnsi="宋体"/>
                <w:szCs w:val="21"/>
                <w:lang w:val="sv-SE"/>
              </w:rPr>
              <w:t>RC</w:t>
            </w:r>
            <w:r>
              <w:rPr>
                <w:rFonts w:hint="eastAsia" w:ascii="宋体" w:hAnsi="宋体"/>
                <w:szCs w:val="21"/>
                <w:lang w:val="sv-SE"/>
              </w:rPr>
              <w:t>传感器，测定洗涤室P</w:t>
            </w:r>
            <w:r>
              <w:rPr>
                <w:rFonts w:ascii="宋体" w:hAnsi="宋体"/>
                <w:szCs w:val="21"/>
                <w:lang w:val="sv-SE"/>
              </w:rPr>
              <w:t>RC</w:t>
            </w:r>
            <w:r>
              <w:rPr>
                <w:rFonts w:hint="eastAsia" w:ascii="宋体" w:hAnsi="宋体"/>
                <w:szCs w:val="21"/>
                <w:lang w:val="sv-SE"/>
              </w:rPr>
              <w:t>填充水平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27</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具备盐水传感器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28</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w:t>
            </w:r>
            <w:r>
              <w:rPr>
                <w:rFonts w:ascii="宋体" w:hAnsi="宋体"/>
                <w:szCs w:val="21"/>
                <w:lang w:val="sv-SE"/>
              </w:rPr>
              <w:t>CCD</w:t>
            </w:r>
            <w:r>
              <w:rPr>
                <w:rFonts w:hint="eastAsia" w:ascii="宋体" w:hAnsi="宋体"/>
                <w:szCs w:val="21"/>
                <w:lang w:val="sv-SE"/>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29</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具备超声气体传感器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30</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具备离心机适配器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31</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具备洗涤室锁紧传感器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32</w:t>
            </w:r>
          </w:p>
        </w:tc>
        <w:tc>
          <w:tcPr>
            <w:tcW w:w="7452" w:type="dxa"/>
            <w:vAlign w:val="center"/>
          </w:tcPr>
          <w:p>
            <w:pPr>
              <w:pStyle w:val="74"/>
              <w:tabs>
                <w:tab w:val="left" w:pos="1476"/>
              </w:tabs>
              <w:ind w:firstLine="0" w:firstLineChars="0"/>
              <w:rPr>
                <w:rFonts w:ascii="宋体" w:hAnsi="宋体"/>
                <w:szCs w:val="21"/>
              </w:rPr>
            </w:pPr>
            <w:r>
              <w:rPr>
                <w:rFonts w:hint="eastAsia" w:ascii="宋体" w:hAnsi="宋体"/>
                <w:szCs w:val="21"/>
                <w:lang w:val="sv-SE"/>
              </w:rPr>
              <w:t>细胞受离心力作用的时间平均为</w:t>
            </w:r>
            <w:r>
              <w:rPr>
                <w:rFonts w:hint="eastAsia" w:ascii="宋体" w:hAnsi="宋体"/>
                <w:szCs w:val="21"/>
              </w:rPr>
              <w:t>25s-40</w:t>
            </w:r>
            <w:r>
              <w:rPr>
                <w:rFonts w:hint="eastAsia" w:ascii="宋体" w:hAnsi="宋体"/>
                <w:szCs w:val="21"/>
                <w:lang w:val="sv-SE"/>
              </w:rPr>
              <w:t>s左右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33</w:t>
            </w:r>
          </w:p>
        </w:tc>
        <w:tc>
          <w:tcPr>
            <w:tcW w:w="7452" w:type="dxa"/>
            <w:vAlign w:val="center"/>
          </w:tcPr>
          <w:p>
            <w:pPr>
              <w:pStyle w:val="74"/>
              <w:ind w:firstLine="0" w:firstLineChars="0"/>
              <w:rPr>
                <w:rFonts w:ascii="宋体" w:hAnsi="宋体"/>
                <w:szCs w:val="21"/>
              </w:rPr>
            </w:pPr>
            <w:r>
              <w:rPr>
                <w:rFonts w:hint="eastAsia" w:ascii="宋体" w:hAnsi="宋体"/>
                <w:szCs w:val="21"/>
                <w:lang w:val="sv-SE"/>
              </w:rPr>
              <w:t>具备运行时间指示器</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4. </w:t>
      </w:r>
      <w:r>
        <w:rPr>
          <w:rFonts w:hint="eastAsia" w:ascii="宋体" w:hAnsi="宋体"/>
          <w:sz w:val="24"/>
          <w:u w:val="single"/>
        </w:rPr>
        <w:t>新生儿保暖箱</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1</w:t>
            </w:r>
          </w:p>
        </w:tc>
        <w:tc>
          <w:tcPr>
            <w:tcW w:w="7452" w:type="dxa"/>
            <w:vAlign w:val="center"/>
          </w:tcPr>
          <w:p>
            <w:pPr>
              <w:rPr>
                <w:rFonts w:hint="eastAsia"/>
              </w:rPr>
            </w:pPr>
            <w:r>
              <w:rPr>
                <w:rFonts w:hint="eastAsia"/>
              </w:rPr>
              <w:t>温度具有箱温和肤温控制模式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rPr>
              <w:t>▲</w:t>
            </w:r>
            <w:r>
              <w:rPr>
                <w:rFonts w:hint="eastAsia"/>
                <w:b/>
                <w:bCs/>
              </w:rPr>
              <w:t>2</w:t>
            </w:r>
          </w:p>
        </w:tc>
        <w:tc>
          <w:tcPr>
            <w:tcW w:w="7452" w:type="dxa"/>
            <w:vAlign w:val="center"/>
          </w:tcPr>
          <w:p>
            <w:pPr>
              <w:rPr>
                <w:rFonts w:hint="eastAsia"/>
              </w:rPr>
            </w:pPr>
            <w:r>
              <w:rPr>
                <w:rFonts w:hint="eastAsia"/>
              </w:rPr>
              <w:t>温度升温时间：≤35min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3</w:t>
            </w:r>
          </w:p>
        </w:tc>
        <w:tc>
          <w:tcPr>
            <w:tcW w:w="7452" w:type="dxa"/>
            <w:vAlign w:val="center"/>
          </w:tcPr>
          <w:p>
            <w:pPr>
              <w:rPr>
                <w:rFonts w:hint="eastAsia"/>
                <w:color w:val="auto"/>
              </w:rPr>
            </w:pPr>
            <w:r>
              <w:rPr>
                <w:rFonts w:hint="eastAsia"/>
                <w:color w:val="auto"/>
              </w:rPr>
              <w:t>温控范围：婴儿模式35-37.5℃，空气模式25-39℃</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4</w:t>
            </w:r>
          </w:p>
        </w:tc>
        <w:tc>
          <w:tcPr>
            <w:tcW w:w="7452" w:type="dxa"/>
            <w:vAlign w:val="center"/>
          </w:tcPr>
          <w:p>
            <w:pPr>
              <w:rPr>
                <w:rFonts w:hint="eastAsia"/>
                <w:color w:val="auto"/>
              </w:rPr>
            </w:pPr>
            <w:r>
              <w:rPr>
                <w:rFonts w:hint="eastAsia"/>
                <w:color w:val="auto"/>
              </w:rPr>
              <w:t>温度测量精度：±0.2℃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5</w:t>
            </w:r>
          </w:p>
        </w:tc>
        <w:tc>
          <w:tcPr>
            <w:tcW w:w="7452" w:type="dxa"/>
            <w:vAlign w:val="center"/>
          </w:tcPr>
          <w:p>
            <w:pPr>
              <w:rPr>
                <w:rFonts w:hint="eastAsia"/>
                <w:color w:val="auto"/>
              </w:rPr>
            </w:pPr>
            <w:r>
              <w:rPr>
                <w:rFonts w:hint="eastAsia"/>
                <w:color w:val="auto"/>
              </w:rPr>
              <w:t>温度控制精度：婴儿模式≤±0.7℃，空气模式≤±1℃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6</w:t>
            </w:r>
          </w:p>
        </w:tc>
        <w:tc>
          <w:tcPr>
            <w:tcW w:w="7452" w:type="dxa"/>
            <w:vAlign w:val="center"/>
          </w:tcPr>
          <w:p>
            <w:pPr>
              <w:rPr>
                <w:rFonts w:hint="eastAsia"/>
                <w:color w:val="auto"/>
              </w:rPr>
            </w:pPr>
            <w:r>
              <w:rPr>
                <w:rFonts w:hint="eastAsia"/>
                <w:color w:val="auto"/>
              </w:rPr>
              <w:t>温度偏差（培养箱温度与平均培养箱温度差）：≤0.5℃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7</w:t>
            </w:r>
          </w:p>
        </w:tc>
        <w:tc>
          <w:tcPr>
            <w:tcW w:w="7452" w:type="dxa"/>
            <w:vAlign w:val="center"/>
          </w:tcPr>
          <w:p>
            <w:pPr>
              <w:rPr>
                <w:rFonts w:hint="eastAsia"/>
                <w:color w:val="auto"/>
              </w:rPr>
            </w:pPr>
            <w:r>
              <w:rPr>
                <w:rFonts w:hint="eastAsia"/>
                <w:color w:val="auto"/>
              </w:rPr>
              <w:t>温度均匀度：水平床≤±0.8℃，倾斜床≤±1℃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8</w:t>
            </w:r>
          </w:p>
        </w:tc>
        <w:tc>
          <w:tcPr>
            <w:tcW w:w="7452" w:type="dxa"/>
            <w:vAlign w:val="center"/>
          </w:tcPr>
          <w:p>
            <w:pPr>
              <w:rPr>
                <w:rFonts w:hint="eastAsia"/>
                <w:color w:val="auto"/>
              </w:rPr>
            </w:pPr>
            <w:r>
              <w:rPr>
                <w:rFonts w:hint="eastAsia"/>
                <w:color w:val="auto"/>
              </w:rPr>
              <w:t>湿度设置范围30%-95%</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，湿度控制精度：±10%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2" w:type="dxa"/>
            <w:vAlign w:val="center"/>
          </w:tcPr>
          <w:p>
            <w:pPr>
              <w:jc w:val="center"/>
              <w:rPr>
                <w:rFonts w:hint="eastAsia"/>
                <w:b/>
                <w:bCs/>
              </w:rPr>
            </w:pPr>
            <w:r>
              <w:rPr>
                <w:rFonts w:hint="eastAsia"/>
                <w:b/>
                <w:bCs/>
              </w:rPr>
              <w:t>9</w:t>
            </w:r>
          </w:p>
        </w:tc>
        <w:tc>
          <w:tcPr>
            <w:tcW w:w="7452" w:type="dxa"/>
            <w:vAlign w:val="center"/>
          </w:tcPr>
          <w:p>
            <w:pPr>
              <w:rPr>
                <w:rFonts w:hint="eastAsia" w:eastAsia="宋体"/>
                <w:color w:val="auto"/>
                <w:lang w:eastAsia="zh-CN"/>
              </w:rPr>
            </w:pPr>
            <w:r>
              <w:rPr>
                <w:rFonts w:hint="eastAsia"/>
                <w:color w:val="auto"/>
              </w:rPr>
              <w:t>加湿系统采用钛合金材质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10</w:t>
            </w:r>
          </w:p>
        </w:tc>
        <w:tc>
          <w:tcPr>
            <w:tcW w:w="7452" w:type="dxa"/>
            <w:vAlign w:val="center"/>
          </w:tcPr>
          <w:p>
            <w:pPr>
              <w:rPr>
                <w:rFonts w:hint="eastAsia"/>
                <w:color w:val="auto"/>
              </w:rPr>
            </w:pPr>
            <w:r>
              <w:rPr>
                <w:rFonts w:hint="eastAsia"/>
                <w:color w:val="auto"/>
              </w:rPr>
              <w:t>屏幕≥8英寸LED背光触控屏，分辨率≥800*600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11</w:t>
            </w:r>
          </w:p>
        </w:tc>
        <w:tc>
          <w:tcPr>
            <w:tcW w:w="7452" w:type="dxa"/>
            <w:vAlign w:val="center"/>
          </w:tcPr>
          <w:p>
            <w:pPr>
              <w:rPr>
                <w:rFonts w:hint="eastAsia"/>
                <w:color w:val="auto"/>
              </w:rPr>
            </w:pPr>
            <w:r>
              <w:rPr>
                <w:rFonts w:hint="eastAsia"/>
                <w:color w:val="auto"/>
              </w:rPr>
              <w:t>具有自动风帘系统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12</w:t>
            </w:r>
          </w:p>
        </w:tc>
        <w:tc>
          <w:tcPr>
            <w:tcW w:w="7452" w:type="dxa"/>
            <w:vAlign w:val="center"/>
          </w:tcPr>
          <w:p>
            <w:pPr>
              <w:rPr>
                <w:rFonts w:hint="eastAsia"/>
                <w:color w:val="auto"/>
              </w:rPr>
            </w:pPr>
            <w:r>
              <w:rPr>
                <w:rFonts w:hint="eastAsia"/>
                <w:color w:val="auto"/>
              </w:rPr>
              <w:t>标配阻尼门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13</w:t>
            </w:r>
          </w:p>
        </w:tc>
        <w:tc>
          <w:tcPr>
            <w:tcW w:w="7452" w:type="dxa"/>
            <w:vAlign w:val="center"/>
          </w:tcPr>
          <w:p>
            <w:pPr>
              <w:rPr>
                <w:rFonts w:hint="eastAsia"/>
                <w:color w:val="auto"/>
              </w:rPr>
            </w:pPr>
            <w:r>
              <w:rPr>
                <w:rFonts w:hint="eastAsia"/>
                <w:color w:val="auto"/>
              </w:rPr>
              <w:t>采用双层箱门设计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14</w:t>
            </w:r>
          </w:p>
        </w:tc>
        <w:tc>
          <w:tcPr>
            <w:tcW w:w="7452" w:type="dxa"/>
            <w:vAlign w:val="center"/>
          </w:tcPr>
          <w:p>
            <w:pPr>
              <w:rPr>
                <w:rFonts w:hint="eastAsia"/>
                <w:color w:val="auto"/>
              </w:rPr>
            </w:pPr>
            <w:r>
              <w:rPr>
                <w:rFonts w:hint="eastAsia"/>
                <w:color w:val="auto"/>
              </w:rPr>
              <w:t>床体采用原色材料一体注塑成型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rPr>
              <w:t>▲</w:t>
            </w:r>
            <w:r>
              <w:rPr>
                <w:rFonts w:hint="eastAsia"/>
                <w:b/>
                <w:bCs/>
              </w:rPr>
              <w:t>15</w:t>
            </w:r>
          </w:p>
        </w:tc>
        <w:tc>
          <w:tcPr>
            <w:tcW w:w="7452" w:type="dxa"/>
            <w:vAlign w:val="center"/>
          </w:tcPr>
          <w:p>
            <w:pPr>
              <w:rPr>
                <w:rFonts w:hint="eastAsia"/>
                <w:color w:val="auto"/>
              </w:rPr>
            </w:pPr>
            <w:r>
              <w:rPr>
                <w:rFonts w:hint="eastAsia"/>
                <w:color w:val="auto"/>
              </w:rPr>
              <w:t>床体倾斜可通过触摸屏控制，床体倾斜电动无极可调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16</w:t>
            </w:r>
          </w:p>
        </w:tc>
        <w:tc>
          <w:tcPr>
            <w:tcW w:w="7452" w:type="dxa"/>
            <w:vAlign w:val="center"/>
          </w:tcPr>
          <w:p>
            <w:pPr>
              <w:rPr>
                <w:rFonts w:hint="eastAsia"/>
                <w:color w:val="auto"/>
              </w:rPr>
            </w:pPr>
            <w:r>
              <w:rPr>
                <w:rFonts w:hint="eastAsia"/>
                <w:color w:val="auto"/>
              </w:rPr>
              <w:t>箱内气体流速：&lt;0.1m/s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17</w:t>
            </w:r>
          </w:p>
        </w:tc>
        <w:tc>
          <w:tcPr>
            <w:tcW w:w="7452" w:type="dxa"/>
            <w:vAlign w:val="center"/>
          </w:tcPr>
          <w:p>
            <w:pPr>
              <w:rPr>
                <w:rFonts w:hint="eastAsia"/>
                <w:color w:val="auto"/>
              </w:rPr>
            </w:pPr>
            <w:r>
              <w:rPr>
                <w:rFonts w:hint="eastAsia"/>
                <w:color w:val="auto"/>
              </w:rPr>
              <w:t>标配直流电机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rPr>
              <w:t>▲</w:t>
            </w:r>
            <w:r>
              <w:rPr>
                <w:rFonts w:hint="eastAsia"/>
                <w:b/>
                <w:bCs/>
              </w:rPr>
              <w:t>18</w:t>
            </w:r>
          </w:p>
        </w:tc>
        <w:tc>
          <w:tcPr>
            <w:tcW w:w="7452" w:type="dxa"/>
            <w:vAlign w:val="center"/>
          </w:tcPr>
          <w:p>
            <w:pPr>
              <w:rPr>
                <w:rFonts w:hint="eastAsia"/>
                <w:color w:val="auto"/>
              </w:rPr>
            </w:pPr>
            <w:r>
              <w:rPr>
                <w:rFonts w:hint="eastAsia"/>
                <w:color w:val="auto"/>
              </w:rPr>
              <w:t>全独立超温保护功能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19</w:t>
            </w:r>
          </w:p>
        </w:tc>
        <w:tc>
          <w:tcPr>
            <w:tcW w:w="7452" w:type="dxa"/>
            <w:vAlign w:val="center"/>
          </w:tcPr>
          <w:p>
            <w:pPr>
              <w:rPr>
                <w:rFonts w:hint="eastAsia"/>
                <w:color w:val="auto"/>
              </w:rPr>
            </w:pPr>
            <w:r>
              <w:rPr>
                <w:rFonts w:hint="eastAsia"/>
                <w:color w:val="auto"/>
              </w:rPr>
              <w:t>蓝光波长范围：400-550nm</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20</w:t>
            </w:r>
          </w:p>
        </w:tc>
        <w:tc>
          <w:tcPr>
            <w:tcW w:w="7452" w:type="dxa"/>
            <w:vAlign w:val="center"/>
          </w:tcPr>
          <w:p>
            <w:pPr>
              <w:rPr>
                <w:rFonts w:hint="eastAsia"/>
              </w:rPr>
            </w:pPr>
            <w:r>
              <w:rPr>
                <w:rFonts w:hint="eastAsia"/>
              </w:rPr>
              <w:t>辐照强度高达60μW/cm2/nm（3.6mW/cm2）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21</w:t>
            </w:r>
          </w:p>
        </w:tc>
        <w:tc>
          <w:tcPr>
            <w:tcW w:w="7452" w:type="dxa"/>
            <w:vAlign w:val="center"/>
          </w:tcPr>
          <w:p>
            <w:pPr>
              <w:rPr>
                <w:rFonts w:hint="eastAsia"/>
              </w:rPr>
            </w:pPr>
            <w:r>
              <w:rPr>
                <w:rFonts w:hint="eastAsia"/>
              </w:rPr>
              <w:t>辐照度单位 μW/cm2/nm和 mW/cm2 两种可选择。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22</w:t>
            </w:r>
          </w:p>
        </w:tc>
        <w:tc>
          <w:tcPr>
            <w:tcW w:w="7452" w:type="dxa"/>
            <w:vAlign w:val="center"/>
          </w:tcPr>
          <w:p>
            <w:pPr>
              <w:rPr>
                <w:rFonts w:hint="eastAsia"/>
              </w:rPr>
            </w:pPr>
            <w:r>
              <w:rPr>
                <w:rFonts w:hint="eastAsia"/>
              </w:rPr>
              <w:t>辐照强度≥5档可调。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23</w:t>
            </w:r>
          </w:p>
        </w:tc>
        <w:tc>
          <w:tcPr>
            <w:tcW w:w="7452" w:type="dxa"/>
            <w:vAlign w:val="center"/>
          </w:tcPr>
          <w:p>
            <w:pPr>
              <w:rPr>
                <w:rFonts w:hint="eastAsia"/>
              </w:rPr>
            </w:pPr>
            <w:r>
              <w:rPr>
                <w:rFonts w:hint="eastAsia"/>
              </w:rPr>
              <w:t>蓝光治疗具有两种</w:t>
            </w:r>
            <w:r>
              <w:rPr>
                <w:rFonts w:hint="eastAsia"/>
                <w:lang w:eastAsia="zh-CN"/>
              </w:rPr>
              <w:t>及以上</w:t>
            </w:r>
            <w:r>
              <w:rPr>
                <w:rFonts w:hint="eastAsia"/>
              </w:rPr>
              <w:t>工作模式</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24</w:t>
            </w:r>
          </w:p>
        </w:tc>
        <w:tc>
          <w:tcPr>
            <w:tcW w:w="7452" w:type="dxa"/>
            <w:vAlign w:val="center"/>
          </w:tcPr>
          <w:p>
            <w:pPr>
              <w:rPr>
                <w:rFonts w:hint="eastAsia"/>
              </w:rPr>
            </w:pPr>
            <w:r>
              <w:rPr>
                <w:rFonts w:hint="eastAsia"/>
              </w:rPr>
              <w:t>可通过屏幕实时查看光疗期间的光照辐照度值，触摸屏≥4英寸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25</w:t>
            </w:r>
          </w:p>
        </w:tc>
        <w:tc>
          <w:tcPr>
            <w:tcW w:w="7452" w:type="dxa"/>
            <w:vAlign w:val="center"/>
          </w:tcPr>
          <w:p>
            <w:pPr>
              <w:rPr>
                <w:rFonts w:hint="eastAsia"/>
              </w:rPr>
            </w:pPr>
            <w:r>
              <w:rPr>
                <w:rFonts w:hint="eastAsia"/>
              </w:rPr>
              <w:t>红光定位功能。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52" w:type="dxa"/>
            <w:vAlign w:val="center"/>
          </w:tcPr>
          <w:p>
            <w:pPr>
              <w:jc w:val="center"/>
              <w:rPr>
                <w:b/>
                <w:bCs/>
              </w:rPr>
            </w:pPr>
            <w:r>
              <w:rPr>
                <w:rFonts w:hint="eastAsia"/>
              </w:rPr>
              <w:t>▲</w:t>
            </w:r>
            <w:r>
              <w:rPr>
                <w:rFonts w:hint="eastAsia"/>
                <w:b/>
                <w:bCs/>
              </w:rPr>
              <w:t>26</w:t>
            </w:r>
          </w:p>
        </w:tc>
        <w:tc>
          <w:tcPr>
            <w:tcW w:w="7452" w:type="dxa"/>
            <w:vAlign w:val="center"/>
          </w:tcPr>
          <w:p>
            <w:pPr>
              <w:rPr>
                <w:rFonts w:hint="eastAsia"/>
              </w:rPr>
            </w:pPr>
            <w:r>
              <w:rPr>
                <w:rFonts w:hint="eastAsia"/>
              </w:rPr>
              <w:t>LED光源使用寿命应≥50000小时。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27</w:t>
            </w:r>
          </w:p>
        </w:tc>
        <w:tc>
          <w:tcPr>
            <w:tcW w:w="7452" w:type="dxa"/>
            <w:vAlign w:val="center"/>
          </w:tcPr>
          <w:p>
            <w:pPr>
              <w:rPr>
                <w:rFonts w:hint="eastAsia"/>
              </w:rPr>
            </w:pPr>
            <w:r>
              <w:rPr>
                <w:rFonts w:hint="eastAsia"/>
              </w:rPr>
              <w:t>无风扇设计。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52" w:type="dxa"/>
            <w:vAlign w:val="center"/>
          </w:tcPr>
          <w:p>
            <w:pPr>
              <w:jc w:val="center"/>
              <w:rPr>
                <w:b/>
                <w:bCs/>
              </w:rPr>
            </w:pPr>
            <w:r>
              <w:rPr>
                <w:rFonts w:hint="eastAsia"/>
                <w:b/>
                <w:bCs/>
              </w:rPr>
              <w:t>28</w:t>
            </w:r>
          </w:p>
        </w:tc>
        <w:tc>
          <w:tcPr>
            <w:tcW w:w="7452" w:type="dxa"/>
            <w:vAlign w:val="center"/>
          </w:tcPr>
          <w:p>
            <w:pPr>
              <w:rPr>
                <w:rFonts w:hint="eastAsia"/>
              </w:rPr>
            </w:pPr>
            <w:r>
              <w:rPr>
                <w:rFonts w:hint="eastAsia"/>
              </w:rPr>
              <w:t>内置计时功能：可设置正计时或倒计时，系统自动记录LED光源总工作时间。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29</w:t>
            </w:r>
          </w:p>
        </w:tc>
        <w:tc>
          <w:tcPr>
            <w:tcW w:w="7452" w:type="dxa"/>
            <w:vAlign w:val="center"/>
          </w:tcPr>
          <w:p>
            <w:pPr>
              <w:rPr>
                <w:rFonts w:hint="eastAsia"/>
              </w:rPr>
            </w:pPr>
            <w:r>
              <w:rPr>
                <w:rFonts w:hint="eastAsia"/>
              </w:rPr>
              <w:t>配置台车，光疗灯的高度、角度均可调节。</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5. </w:t>
      </w:r>
      <w:r>
        <w:rPr>
          <w:rFonts w:hint="eastAsia" w:ascii="宋体" w:hAnsi="宋体"/>
          <w:sz w:val="24"/>
          <w:u w:val="single"/>
        </w:rPr>
        <w:t>新生儿亚低温治疗仪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1</w:t>
            </w:r>
          </w:p>
        </w:tc>
        <w:tc>
          <w:tcPr>
            <w:tcW w:w="7452" w:type="dxa"/>
            <w:vAlign w:val="center"/>
          </w:tcPr>
          <w:p>
            <w:pPr>
              <w:rPr>
                <w:rFonts w:hint="eastAsia"/>
              </w:rPr>
            </w:pPr>
            <w:r>
              <w:rPr>
                <w:rFonts w:hint="eastAsia"/>
              </w:rPr>
              <w:t>控温方式：既可单独对循环水控温，也可对患者进行智能主动控温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▲2</w:t>
            </w:r>
          </w:p>
        </w:tc>
        <w:tc>
          <w:tcPr>
            <w:tcW w:w="7452" w:type="dxa"/>
            <w:vAlign w:val="center"/>
          </w:tcPr>
          <w:p>
            <w:pPr>
              <w:rPr>
                <w:rFonts w:hint="eastAsia"/>
              </w:rPr>
            </w:pPr>
            <w:r>
              <w:rPr>
                <w:rFonts w:hint="eastAsia"/>
              </w:rPr>
              <w:t>多种操作模式：包括但不限于手动模式、自动模式、监测模式、10度恒定模式、自定义恒定模式、智能10度梯度温控模式、智能自定义梯度等温控模式。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▲3</w:t>
            </w:r>
          </w:p>
        </w:tc>
        <w:tc>
          <w:tcPr>
            <w:tcW w:w="7452" w:type="dxa"/>
            <w:vAlign w:val="center"/>
          </w:tcPr>
          <w:p>
            <w:pPr>
              <w:rPr>
                <w:rFonts w:hint="eastAsia"/>
              </w:rPr>
            </w:pPr>
            <w:r>
              <w:rPr>
                <w:rFonts w:hint="eastAsia"/>
              </w:rPr>
              <w:t>循环水升降温速率：升温速率：≥3℃/min，降温速率：≥5℃/min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4</w:t>
            </w:r>
          </w:p>
        </w:tc>
        <w:tc>
          <w:tcPr>
            <w:tcW w:w="7452" w:type="dxa"/>
            <w:vAlign w:val="center"/>
          </w:tcPr>
          <w:p>
            <w:pPr>
              <w:rPr>
                <w:rFonts w:hint="eastAsia"/>
              </w:rPr>
            </w:pPr>
            <w:r>
              <w:rPr>
                <w:rFonts w:hint="eastAsia"/>
                <w:color w:val="auto"/>
              </w:rPr>
              <w:t>温度控制范围：水毯温度范围：4—42℃， 病人温度范围：30—40℃</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52" w:type="dxa"/>
            <w:vAlign w:val="center"/>
          </w:tcPr>
          <w:p>
            <w:pPr>
              <w:jc w:val="center"/>
              <w:rPr>
                <w:rFonts w:hint="eastAsia"/>
                <w:b/>
                <w:bCs/>
              </w:rPr>
            </w:pPr>
            <w:r>
              <w:rPr>
                <w:rFonts w:hint="eastAsia"/>
                <w:b/>
                <w:bCs/>
              </w:rPr>
              <w:t>5</w:t>
            </w:r>
          </w:p>
        </w:tc>
        <w:tc>
          <w:tcPr>
            <w:tcW w:w="7452" w:type="dxa"/>
            <w:vAlign w:val="center"/>
          </w:tcPr>
          <w:p>
            <w:pPr>
              <w:rPr>
                <w:rFonts w:hint="eastAsia"/>
              </w:rPr>
            </w:pPr>
            <w:r>
              <w:rPr>
                <w:rFonts w:hint="eastAsia"/>
              </w:rPr>
              <w:t>循环水流量≥2.3L/min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52" w:type="dxa"/>
            <w:vAlign w:val="center"/>
          </w:tcPr>
          <w:p>
            <w:pPr>
              <w:jc w:val="center"/>
              <w:rPr>
                <w:rFonts w:hint="eastAsia"/>
                <w:b/>
                <w:bCs/>
              </w:rPr>
            </w:pPr>
            <w:r>
              <w:rPr>
                <w:rFonts w:hint="eastAsia"/>
                <w:b/>
                <w:bCs/>
              </w:rPr>
              <w:t>▲6</w:t>
            </w:r>
          </w:p>
        </w:tc>
        <w:tc>
          <w:tcPr>
            <w:tcW w:w="7452" w:type="dxa"/>
            <w:vAlign w:val="center"/>
          </w:tcPr>
          <w:p>
            <w:pPr>
              <w:rPr>
                <w:rFonts w:hint="eastAsia"/>
              </w:rPr>
            </w:pPr>
            <w:r>
              <w:rPr>
                <w:rFonts w:hint="eastAsia"/>
              </w:rPr>
              <w:t>连接水毯数量： 一机可同时携带</w:t>
            </w:r>
            <w:r>
              <w:rPr>
                <w:rFonts w:hint="eastAsia"/>
                <w:lang w:eastAsia="zh-CN"/>
              </w:rPr>
              <w:t>最少</w:t>
            </w:r>
            <w:r>
              <w:rPr>
                <w:rFonts w:hint="eastAsia"/>
              </w:rPr>
              <w:t>三毯工作；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7</w:t>
            </w:r>
          </w:p>
        </w:tc>
        <w:tc>
          <w:tcPr>
            <w:tcW w:w="7452" w:type="dxa"/>
            <w:vAlign w:val="center"/>
          </w:tcPr>
          <w:p>
            <w:pPr>
              <w:rPr>
                <w:rFonts w:hint="eastAsia"/>
              </w:rPr>
            </w:pPr>
            <w:r>
              <w:rPr>
                <w:rFonts w:hint="eastAsia"/>
              </w:rPr>
              <w:t>水毯材料：聚氨脂类；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8</w:t>
            </w:r>
          </w:p>
        </w:tc>
        <w:tc>
          <w:tcPr>
            <w:tcW w:w="7452" w:type="dxa"/>
            <w:vAlign w:val="center"/>
          </w:tcPr>
          <w:p>
            <w:pPr>
              <w:rPr>
                <w:rFonts w:hint="eastAsia"/>
              </w:rPr>
            </w:pPr>
            <w:r>
              <w:rPr>
                <w:rFonts w:hint="eastAsia"/>
              </w:rPr>
              <w:t>水毯接口：阴阳防错接口；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9</w:t>
            </w:r>
          </w:p>
        </w:tc>
        <w:tc>
          <w:tcPr>
            <w:tcW w:w="7452" w:type="dxa"/>
            <w:vAlign w:val="center"/>
          </w:tcPr>
          <w:p>
            <w:pPr>
              <w:rPr>
                <w:rFonts w:hint="eastAsia"/>
              </w:rPr>
            </w:pPr>
            <w:r>
              <w:rPr>
                <w:rFonts w:hint="eastAsia"/>
              </w:rPr>
              <w:t>关机后，毯内水自动回仓。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10</w:t>
            </w:r>
          </w:p>
        </w:tc>
        <w:tc>
          <w:tcPr>
            <w:tcW w:w="7452" w:type="dxa"/>
            <w:vAlign w:val="center"/>
          </w:tcPr>
          <w:p>
            <w:pPr>
              <w:rPr>
                <w:rFonts w:hint="eastAsia"/>
              </w:rPr>
            </w:pPr>
            <w:r>
              <w:rPr>
                <w:rFonts w:hint="eastAsia"/>
              </w:rPr>
              <w:t xml:space="preserve">报警：高温、低温、传感器、低水位、阻塞、低流量、电源等，并且文字提示；设备运行状态及各项报警信息；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11</w:t>
            </w:r>
          </w:p>
        </w:tc>
        <w:tc>
          <w:tcPr>
            <w:tcW w:w="7452" w:type="dxa"/>
            <w:vAlign w:val="center"/>
          </w:tcPr>
          <w:p>
            <w:pPr>
              <w:rPr>
                <w:rFonts w:hint="eastAsia"/>
              </w:rPr>
            </w:pPr>
            <w:r>
              <w:rPr>
                <w:rFonts w:hint="eastAsia"/>
              </w:rPr>
              <w:t>具有患者体温传感器。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12</w:t>
            </w:r>
          </w:p>
        </w:tc>
        <w:tc>
          <w:tcPr>
            <w:tcW w:w="7452" w:type="dxa"/>
            <w:vAlign w:val="center"/>
          </w:tcPr>
          <w:p>
            <w:pPr>
              <w:rPr>
                <w:rFonts w:hint="eastAsia"/>
              </w:rPr>
            </w:pPr>
            <w:r>
              <w:rPr>
                <w:rFonts w:hint="eastAsia"/>
              </w:rPr>
              <w:t>信息显示窗口：文字提示机器运行状态、设备报警及故障信息。</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6. </w:t>
      </w:r>
      <w:r>
        <w:rPr>
          <w:rFonts w:hint="eastAsia" w:ascii="宋体" w:hAnsi="宋体"/>
          <w:sz w:val="24"/>
          <w:u w:val="single"/>
        </w:rPr>
        <w:t>亚低温治疗仪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1</w:t>
            </w:r>
          </w:p>
        </w:tc>
        <w:tc>
          <w:tcPr>
            <w:tcW w:w="7452" w:type="dxa"/>
            <w:vAlign w:val="center"/>
          </w:tcPr>
          <w:p>
            <w:pPr>
              <w:rPr>
                <w:rFonts w:hint="eastAsia"/>
              </w:rPr>
            </w:pPr>
            <w:r>
              <w:rPr>
                <w:rFonts w:hint="eastAsia"/>
              </w:rPr>
              <w:t>控温方式：既可单独对循环水控温，也可对患者进行智能主动控温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rPr>
              <w:t>▲</w:t>
            </w:r>
            <w:r>
              <w:rPr>
                <w:rFonts w:hint="eastAsia"/>
                <w:b/>
                <w:bCs/>
              </w:rPr>
              <w:t>2</w:t>
            </w:r>
          </w:p>
        </w:tc>
        <w:tc>
          <w:tcPr>
            <w:tcW w:w="7452" w:type="dxa"/>
            <w:vAlign w:val="center"/>
          </w:tcPr>
          <w:p>
            <w:pPr>
              <w:rPr>
                <w:rFonts w:hint="eastAsia"/>
              </w:rPr>
            </w:pPr>
            <w:r>
              <w:rPr>
                <w:rFonts w:hint="eastAsia"/>
              </w:rPr>
              <w:t>多种操作模式：包括但不限于手动模式、自动模式、监测模式、10度恒定模式、自定义恒定模式、智能10度梯度温控模式、智能自定义梯度等温控模式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52" w:type="dxa"/>
            <w:vAlign w:val="center"/>
          </w:tcPr>
          <w:p>
            <w:pPr>
              <w:jc w:val="center"/>
              <w:rPr>
                <w:rFonts w:hint="eastAsia"/>
                <w:b/>
                <w:bCs/>
              </w:rPr>
            </w:pPr>
            <w:r>
              <w:rPr>
                <w:rFonts w:hint="eastAsia"/>
              </w:rPr>
              <w:t>▲</w:t>
            </w:r>
            <w:r>
              <w:rPr>
                <w:rFonts w:hint="eastAsia"/>
                <w:b/>
                <w:bCs/>
              </w:rPr>
              <w:t>3</w:t>
            </w:r>
          </w:p>
        </w:tc>
        <w:tc>
          <w:tcPr>
            <w:tcW w:w="7452" w:type="dxa"/>
            <w:vAlign w:val="center"/>
          </w:tcPr>
          <w:p>
            <w:pPr>
              <w:rPr>
                <w:rFonts w:hint="eastAsia"/>
              </w:rPr>
            </w:pPr>
            <w:r>
              <w:rPr>
                <w:rFonts w:hint="eastAsia"/>
              </w:rPr>
              <w:t>循环水升降温速率：升温速率：≥3℃/min，降温速率：≥5℃/min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4</w:t>
            </w:r>
          </w:p>
        </w:tc>
        <w:tc>
          <w:tcPr>
            <w:tcW w:w="7452" w:type="dxa"/>
            <w:vAlign w:val="center"/>
          </w:tcPr>
          <w:p>
            <w:pPr>
              <w:rPr>
                <w:rFonts w:hint="eastAsia"/>
              </w:rPr>
            </w:pPr>
            <w:r>
              <w:rPr>
                <w:rFonts w:hint="eastAsia"/>
              </w:rPr>
              <w:t>温度控制范围：水毯温度范围：4—42℃， 病人温度范围：30—40℃。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5</w:t>
            </w:r>
          </w:p>
        </w:tc>
        <w:tc>
          <w:tcPr>
            <w:tcW w:w="7452" w:type="dxa"/>
            <w:vAlign w:val="center"/>
          </w:tcPr>
          <w:p>
            <w:pPr>
              <w:rPr>
                <w:rFonts w:hint="eastAsia"/>
              </w:rPr>
            </w:pPr>
            <w:r>
              <w:rPr>
                <w:rFonts w:hint="eastAsia"/>
              </w:rPr>
              <w:t>循环水流量≥2.3L/min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rPr>
              <w:t>▲</w:t>
            </w:r>
            <w:r>
              <w:rPr>
                <w:rFonts w:hint="eastAsia"/>
                <w:b/>
                <w:bCs/>
              </w:rPr>
              <w:t>6</w:t>
            </w:r>
          </w:p>
        </w:tc>
        <w:tc>
          <w:tcPr>
            <w:tcW w:w="7452" w:type="dxa"/>
            <w:vAlign w:val="center"/>
          </w:tcPr>
          <w:p>
            <w:pPr>
              <w:rPr>
                <w:rFonts w:hint="eastAsia"/>
              </w:rPr>
            </w:pPr>
            <w:r>
              <w:rPr>
                <w:rFonts w:hint="eastAsia"/>
              </w:rPr>
              <w:t>连接水毯数量： 一机可同时携带</w:t>
            </w:r>
            <w:r>
              <w:rPr>
                <w:rFonts w:hint="eastAsia"/>
                <w:lang w:eastAsia="zh-CN"/>
              </w:rPr>
              <w:t>最少</w:t>
            </w:r>
            <w:r>
              <w:rPr>
                <w:rFonts w:hint="eastAsia"/>
              </w:rPr>
              <w:t>三毯工作；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7</w:t>
            </w:r>
          </w:p>
        </w:tc>
        <w:tc>
          <w:tcPr>
            <w:tcW w:w="7452" w:type="dxa"/>
            <w:vAlign w:val="center"/>
          </w:tcPr>
          <w:p>
            <w:pPr>
              <w:rPr>
                <w:rFonts w:hint="eastAsia"/>
              </w:rPr>
            </w:pPr>
            <w:r>
              <w:rPr>
                <w:rFonts w:hint="eastAsia"/>
              </w:rPr>
              <w:t>水毯材料：聚氨脂类；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8</w:t>
            </w:r>
          </w:p>
        </w:tc>
        <w:tc>
          <w:tcPr>
            <w:tcW w:w="7452" w:type="dxa"/>
            <w:vAlign w:val="center"/>
          </w:tcPr>
          <w:p>
            <w:pPr>
              <w:rPr>
                <w:rFonts w:hint="eastAsia"/>
              </w:rPr>
            </w:pPr>
            <w:r>
              <w:rPr>
                <w:rFonts w:hint="eastAsia"/>
              </w:rPr>
              <w:t>水毯接口：阴阳防错接口；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9</w:t>
            </w:r>
          </w:p>
        </w:tc>
        <w:tc>
          <w:tcPr>
            <w:tcW w:w="7452" w:type="dxa"/>
            <w:vAlign w:val="center"/>
          </w:tcPr>
          <w:p>
            <w:pPr>
              <w:rPr>
                <w:rFonts w:hint="eastAsia"/>
              </w:rPr>
            </w:pPr>
            <w:r>
              <w:rPr>
                <w:rFonts w:hint="eastAsia"/>
              </w:rPr>
              <w:t>关机后，毯内水自动回仓；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10</w:t>
            </w:r>
          </w:p>
        </w:tc>
        <w:tc>
          <w:tcPr>
            <w:tcW w:w="7452" w:type="dxa"/>
            <w:vAlign w:val="center"/>
          </w:tcPr>
          <w:p>
            <w:pPr>
              <w:rPr>
                <w:rFonts w:hint="eastAsia"/>
              </w:rPr>
            </w:pPr>
            <w:r>
              <w:rPr>
                <w:rFonts w:hint="eastAsia"/>
              </w:rPr>
              <w:t xml:space="preserve">报警：高温、低温、传感器、低水位、阻塞、低流量、电源等，并且文字提示；设备运行状态及各项报警信息；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11</w:t>
            </w:r>
          </w:p>
        </w:tc>
        <w:tc>
          <w:tcPr>
            <w:tcW w:w="7452" w:type="dxa"/>
            <w:vAlign w:val="center"/>
          </w:tcPr>
          <w:p>
            <w:pPr>
              <w:rPr>
                <w:rFonts w:hint="eastAsia"/>
              </w:rPr>
            </w:pPr>
            <w:r>
              <w:rPr>
                <w:rFonts w:hint="eastAsia"/>
              </w:rPr>
              <w:t>具有患者体温传感器，以便仪器能自动调节及控制患者体温变化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12</w:t>
            </w:r>
          </w:p>
        </w:tc>
        <w:tc>
          <w:tcPr>
            <w:tcW w:w="7452" w:type="dxa"/>
            <w:vAlign w:val="center"/>
          </w:tcPr>
          <w:p>
            <w:pPr>
              <w:rPr>
                <w:rFonts w:hint="eastAsia"/>
              </w:rPr>
            </w:pPr>
            <w:r>
              <w:rPr>
                <w:rFonts w:hint="eastAsia"/>
              </w:rPr>
              <w:t>信息显示窗口：文字提示机器运行状态、设备报警及故障信息</w:t>
            </w:r>
          </w:p>
        </w:tc>
      </w:tr>
    </w:tbl>
    <w:p>
      <w:pPr>
        <w:spacing w:line="360" w:lineRule="auto"/>
        <w:ind w:firstLine="480" w:firstLineChars="200"/>
        <w:outlineLvl w:val="9"/>
        <w:rPr>
          <w:rFonts w:hint="eastAsia" w:ascii="宋体" w:hAnsi="宋体"/>
          <w:sz w:val="24"/>
        </w:rPr>
      </w:pPr>
      <w:r>
        <w:rPr>
          <w:rFonts w:hint="eastAsia" w:ascii="宋体" w:hAnsi="宋体"/>
          <w:sz w:val="24"/>
        </w:rPr>
        <w:t xml:space="preserve">7. </w:t>
      </w:r>
      <w:r>
        <w:rPr>
          <w:rFonts w:hint="eastAsia" w:ascii="宋体" w:hAnsi="宋体"/>
          <w:sz w:val="24"/>
          <w:u w:val="single"/>
        </w:rPr>
        <w:t>盆底神经肌肉刺激治疗仪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rPr>
            </w:pPr>
            <w:r>
              <w:rPr>
                <w:rFonts w:hint="eastAsia"/>
              </w:rPr>
              <w:t>序号</w:t>
            </w:r>
          </w:p>
        </w:tc>
        <w:tc>
          <w:tcPr>
            <w:tcW w:w="7452" w:type="dxa"/>
            <w:vAlign w:val="center"/>
          </w:tcPr>
          <w:p>
            <w:pPr>
              <w:jc w:val="center"/>
            </w:pPr>
            <w:r>
              <w:rPr>
                <w:rFonts w:hint="eastAsia"/>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1</w:t>
            </w:r>
          </w:p>
        </w:tc>
        <w:tc>
          <w:tcPr>
            <w:tcW w:w="7452" w:type="dxa"/>
            <w:vAlign w:val="center"/>
          </w:tcPr>
          <w:p>
            <w:pPr>
              <w:rPr>
                <w:rFonts w:hint="eastAsia"/>
              </w:rPr>
            </w:pPr>
            <w:r>
              <w:rPr>
                <w:rFonts w:hint="eastAsia"/>
              </w:rPr>
              <w:t>电刺激治疗通道数量≥4个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2</w:t>
            </w:r>
          </w:p>
        </w:tc>
        <w:tc>
          <w:tcPr>
            <w:tcW w:w="7452" w:type="dxa"/>
            <w:vAlign w:val="center"/>
          </w:tcPr>
          <w:p>
            <w:pPr>
              <w:rPr>
                <w:rFonts w:hint="eastAsia"/>
              </w:rPr>
            </w:pPr>
            <w:r>
              <w:rPr>
                <w:rFonts w:hint="eastAsia"/>
              </w:rPr>
              <w:t>肌电采集通道数量≥2个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3</w:t>
            </w:r>
          </w:p>
        </w:tc>
        <w:tc>
          <w:tcPr>
            <w:tcW w:w="7452" w:type="dxa"/>
            <w:vAlign w:val="center"/>
          </w:tcPr>
          <w:p>
            <w:pPr>
              <w:rPr>
                <w:rFonts w:hint="eastAsia"/>
              </w:rPr>
            </w:pPr>
            <w:r>
              <w:rPr>
                <w:rFonts w:hint="eastAsia"/>
              </w:rPr>
              <w:t>压力采集通道数量≥2个，可接阴道压力模块和肛肠压力模块。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4</w:t>
            </w:r>
          </w:p>
        </w:tc>
        <w:tc>
          <w:tcPr>
            <w:tcW w:w="7452" w:type="dxa"/>
            <w:vAlign w:val="center"/>
          </w:tcPr>
          <w:p>
            <w:pPr>
              <w:rPr>
                <w:rFonts w:hint="eastAsia"/>
              </w:rPr>
            </w:pPr>
            <w:r>
              <w:rPr>
                <w:rFonts w:hint="eastAsia"/>
              </w:rPr>
              <w:t>外部数字信号通道：外部数字信号采集与治疗通道≥1个，可接力量传感器或张力传感器。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5</w:t>
            </w:r>
          </w:p>
        </w:tc>
        <w:tc>
          <w:tcPr>
            <w:tcW w:w="7452" w:type="dxa"/>
            <w:vAlign w:val="center"/>
          </w:tcPr>
          <w:p>
            <w:pPr>
              <w:rPr>
                <w:rFonts w:hint="eastAsia"/>
              </w:rPr>
            </w:pPr>
            <w:r>
              <w:rPr>
                <w:rFonts w:hint="eastAsia"/>
              </w:rPr>
              <w:t>电刺激和采集同步治疗通道数量≥4个。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ascii="宋体" w:hAnsi="宋体" w:cs="宋体"/>
                <w:kern w:val="0"/>
                <w:szCs w:val="21"/>
                <w:lang w:bidi="ar"/>
              </w:rPr>
              <w:t>▲</w:t>
            </w:r>
            <w:r>
              <w:rPr>
                <w:rFonts w:hint="eastAsia"/>
                <w:b/>
                <w:bCs/>
              </w:rPr>
              <w:t>6</w:t>
            </w:r>
          </w:p>
        </w:tc>
        <w:tc>
          <w:tcPr>
            <w:tcW w:w="7452" w:type="dxa"/>
            <w:vAlign w:val="center"/>
          </w:tcPr>
          <w:p>
            <w:pPr>
              <w:rPr>
                <w:rFonts w:hint="eastAsia"/>
              </w:rPr>
            </w:pPr>
            <w:r>
              <w:rPr>
                <w:rFonts w:hint="eastAsia"/>
              </w:rPr>
              <w:t>电流发生器≥2个。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7</w:t>
            </w:r>
          </w:p>
        </w:tc>
        <w:tc>
          <w:tcPr>
            <w:tcW w:w="7452" w:type="dxa"/>
            <w:vAlign w:val="center"/>
          </w:tcPr>
          <w:p>
            <w:pPr>
              <w:rPr>
                <w:rFonts w:hint="eastAsia"/>
              </w:rPr>
            </w:pPr>
            <w:r>
              <w:rPr>
                <w:rFonts w:hint="eastAsia"/>
              </w:rPr>
              <w:t>可选配件包含压力传感器、角度传感器、力量传感器、张力传感器。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ascii="宋体" w:hAnsi="宋体" w:cs="宋体"/>
                <w:kern w:val="0"/>
                <w:szCs w:val="21"/>
                <w:lang w:bidi="ar"/>
              </w:rPr>
              <w:t>▲</w:t>
            </w:r>
            <w:r>
              <w:rPr>
                <w:rFonts w:hint="eastAsia"/>
                <w:b/>
                <w:bCs/>
              </w:rPr>
              <w:t>8</w:t>
            </w:r>
          </w:p>
        </w:tc>
        <w:tc>
          <w:tcPr>
            <w:tcW w:w="7452" w:type="dxa"/>
            <w:vAlign w:val="center"/>
          </w:tcPr>
          <w:p>
            <w:pPr>
              <w:rPr>
                <w:rFonts w:hint="eastAsia"/>
              </w:rPr>
            </w:pPr>
            <w:r>
              <w:rPr>
                <w:rFonts w:hint="eastAsia"/>
              </w:rPr>
              <w:t>电刺激电流类型≥9种，包括：直流电流、单向脉冲、双向脉冲、补充电流脉冲、同步补充脉冲、同步双向脉冲、单向半正弦、双向半正弦、平均值（正弦）。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rFonts w:hint="eastAsia"/>
                <w:b/>
                <w:bCs/>
              </w:rPr>
            </w:pPr>
            <w:r>
              <w:rPr>
                <w:rFonts w:hint="eastAsia"/>
                <w:b/>
                <w:bCs/>
              </w:rPr>
              <w:t>9</w:t>
            </w:r>
          </w:p>
        </w:tc>
        <w:tc>
          <w:tcPr>
            <w:tcW w:w="7452" w:type="dxa"/>
            <w:vAlign w:val="center"/>
          </w:tcPr>
          <w:p>
            <w:pPr>
              <w:rPr>
                <w:rFonts w:hint="eastAsia"/>
                <w:color w:val="auto"/>
              </w:rPr>
            </w:pPr>
            <w:r>
              <w:rPr>
                <w:rFonts w:hint="eastAsia"/>
                <w:color w:val="auto"/>
              </w:rPr>
              <w:t>刺激电流强度：0-100mA</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任意调整，调节精度0.5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10</w:t>
            </w:r>
          </w:p>
        </w:tc>
        <w:tc>
          <w:tcPr>
            <w:tcW w:w="7452" w:type="dxa"/>
            <w:vAlign w:val="center"/>
          </w:tcPr>
          <w:p>
            <w:pPr>
              <w:rPr>
                <w:rFonts w:hint="eastAsia"/>
                <w:color w:val="auto"/>
              </w:rPr>
            </w:pPr>
            <w:r>
              <w:rPr>
                <w:rFonts w:hint="eastAsia"/>
                <w:color w:val="auto"/>
              </w:rPr>
              <w:t>刺激电流频率：1-450Hz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11</w:t>
            </w:r>
          </w:p>
        </w:tc>
        <w:tc>
          <w:tcPr>
            <w:tcW w:w="7452" w:type="dxa"/>
            <w:vAlign w:val="center"/>
          </w:tcPr>
          <w:p>
            <w:pPr>
              <w:rPr>
                <w:rFonts w:hint="eastAsia"/>
                <w:color w:val="auto"/>
              </w:rPr>
            </w:pPr>
            <w:r>
              <w:rPr>
                <w:rFonts w:hint="eastAsia"/>
                <w:color w:val="auto"/>
              </w:rPr>
              <w:t>脉冲宽度：50μs～2000μs</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12</w:t>
            </w:r>
          </w:p>
        </w:tc>
        <w:tc>
          <w:tcPr>
            <w:tcW w:w="7452" w:type="dxa"/>
            <w:vAlign w:val="center"/>
          </w:tcPr>
          <w:p>
            <w:pPr>
              <w:rPr>
                <w:rFonts w:hint="eastAsia"/>
                <w:color w:val="auto"/>
              </w:rPr>
            </w:pPr>
            <w:r>
              <w:rPr>
                <w:rFonts w:hint="eastAsia"/>
                <w:color w:val="auto"/>
              </w:rPr>
              <w:t>肌电放大器的性能：测量范围：0μV～2000μV</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13</w:t>
            </w:r>
          </w:p>
        </w:tc>
        <w:tc>
          <w:tcPr>
            <w:tcW w:w="7452" w:type="dxa"/>
            <w:vAlign w:val="center"/>
          </w:tcPr>
          <w:p>
            <w:pPr>
              <w:rPr>
                <w:rFonts w:hint="eastAsia"/>
                <w:color w:val="auto"/>
              </w:rPr>
            </w:pPr>
            <w:r>
              <w:rPr>
                <w:rFonts w:hint="eastAsia"/>
                <w:color w:val="auto"/>
              </w:rPr>
              <w:t>直流电最大输出25mA、强度增减步阶0.1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14</w:t>
            </w:r>
          </w:p>
        </w:tc>
        <w:tc>
          <w:tcPr>
            <w:tcW w:w="7452" w:type="dxa"/>
            <w:vAlign w:val="center"/>
          </w:tcPr>
          <w:p>
            <w:pPr>
              <w:rPr>
                <w:rFonts w:hint="eastAsia"/>
                <w:color w:val="auto"/>
              </w:rPr>
            </w:pPr>
            <w:r>
              <w:rPr>
                <w:rFonts w:hint="eastAsia"/>
                <w:color w:val="auto"/>
              </w:rPr>
              <w:t>单向脉冲最大输出100mA、强度增减步阶0.5 mA、脉宽100-2000μs、频率1-450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15</w:t>
            </w:r>
          </w:p>
        </w:tc>
        <w:tc>
          <w:tcPr>
            <w:tcW w:w="7452" w:type="dxa"/>
            <w:vAlign w:val="center"/>
          </w:tcPr>
          <w:p>
            <w:pPr>
              <w:rPr>
                <w:rFonts w:hint="eastAsia"/>
                <w:color w:val="auto"/>
              </w:rPr>
            </w:pPr>
            <w:r>
              <w:rPr>
                <w:rFonts w:hint="eastAsia"/>
                <w:color w:val="auto"/>
              </w:rPr>
              <w:t>双向脉冲最大输出100mA、强度增减步阶0.5 mA、脉宽50-1000μs、频率1-450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16</w:t>
            </w:r>
          </w:p>
        </w:tc>
        <w:tc>
          <w:tcPr>
            <w:tcW w:w="7452" w:type="dxa"/>
            <w:vAlign w:val="center"/>
          </w:tcPr>
          <w:p>
            <w:pPr>
              <w:rPr>
                <w:rFonts w:hint="eastAsia"/>
                <w:color w:val="auto"/>
              </w:rPr>
            </w:pPr>
            <w:r>
              <w:rPr>
                <w:rFonts w:hint="eastAsia"/>
                <w:color w:val="auto"/>
              </w:rPr>
              <w:t>补充电流脉冲最大输出100mA、强度增减步阶0.5 mA、脉宽100-700μs、频率1-450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ascii="宋体" w:hAnsi="宋体" w:cs="宋体"/>
                <w:kern w:val="0"/>
                <w:szCs w:val="21"/>
                <w:lang w:bidi="ar"/>
              </w:rPr>
              <w:t>▲</w:t>
            </w:r>
            <w:r>
              <w:rPr>
                <w:rFonts w:hint="eastAsia"/>
                <w:b/>
                <w:bCs/>
              </w:rPr>
              <w:t>17</w:t>
            </w:r>
          </w:p>
        </w:tc>
        <w:tc>
          <w:tcPr>
            <w:tcW w:w="7452" w:type="dxa"/>
            <w:vAlign w:val="center"/>
          </w:tcPr>
          <w:p>
            <w:pPr>
              <w:rPr>
                <w:rFonts w:hint="eastAsia"/>
                <w:color w:val="auto"/>
              </w:rPr>
            </w:pPr>
            <w:r>
              <w:rPr>
                <w:rFonts w:hint="eastAsia"/>
                <w:color w:val="auto"/>
              </w:rPr>
              <w:t>同步补充脉冲最大输出100mA、强度增减步阶0.5 mA、脉宽200-700μs、频率1-350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18</w:t>
            </w:r>
          </w:p>
        </w:tc>
        <w:tc>
          <w:tcPr>
            <w:tcW w:w="7452" w:type="dxa"/>
            <w:vAlign w:val="center"/>
          </w:tcPr>
          <w:p>
            <w:pPr>
              <w:rPr>
                <w:rFonts w:hint="eastAsia"/>
                <w:color w:val="auto"/>
              </w:rPr>
            </w:pPr>
            <w:r>
              <w:rPr>
                <w:rFonts w:hint="eastAsia"/>
                <w:color w:val="auto"/>
              </w:rPr>
              <w:t>同步双向脉冲最大输出100mA、强度增减步阶0.5 mA、脉宽300-1000μs、频率1-400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ascii="宋体" w:hAnsi="宋体" w:cs="宋体"/>
                <w:kern w:val="0"/>
                <w:szCs w:val="21"/>
                <w:lang w:bidi="ar"/>
              </w:rPr>
              <w:t>▲</w:t>
            </w:r>
            <w:r>
              <w:rPr>
                <w:rFonts w:hint="eastAsia"/>
                <w:b/>
                <w:bCs/>
              </w:rPr>
              <w:t>19</w:t>
            </w:r>
          </w:p>
        </w:tc>
        <w:tc>
          <w:tcPr>
            <w:tcW w:w="7452" w:type="dxa"/>
            <w:vAlign w:val="center"/>
          </w:tcPr>
          <w:p>
            <w:pPr>
              <w:rPr>
                <w:rFonts w:hint="eastAsia"/>
                <w:color w:val="auto"/>
              </w:rPr>
            </w:pPr>
            <w:r>
              <w:rPr>
                <w:rFonts w:hint="eastAsia"/>
                <w:color w:val="auto"/>
              </w:rPr>
              <w:t>单向半正弦最大输出25mA、强度增减步阶0.1 mA、频率1-50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20</w:t>
            </w:r>
          </w:p>
        </w:tc>
        <w:tc>
          <w:tcPr>
            <w:tcW w:w="7452" w:type="dxa"/>
            <w:vAlign w:val="center"/>
          </w:tcPr>
          <w:p>
            <w:pPr>
              <w:rPr>
                <w:rFonts w:hint="eastAsia"/>
                <w:color w:val="auto"/>
              </w:rPr>
            </w:pPr>
            <w:r>
              <w:rPr>
                <w:rFonts w:hint="eastAsia"/>
                <w:color w:val="auto"/>
              </w:rPr>
              <w:t>双向半正弦最大输出25mA、强度增减步阶0.1 mA、频率1-100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21</w:t>
            </w:r>
          </w:p>
        </w:tc>
        <w:tc>
          <w:tcPr>
            <w:tcW w:w="7452" w:type="dxa"/>
            <w:vAlign w:val="center"/>
          </w:tcPr>
          <w:p>
            <w:pPr>
              <w:rPr>
                <w:rFonts w:hint="eastAsia"/>
                <w:color w:val="auto"/>
              </w:rPr>
            </w:pPr>
            <w:r>
              <w:rPr>
                <w:rFonts w:hint="eastAsia"/>
                <w:color w:val="auto"/>
              </w:rPr>
              <w:t>平均值（正弦）最大输出25mA、强度增减步阶0.1 mA、频率1-50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22</w:t>
            </w:r>
          </w:p>
        </w:tc>
        <w:tc>
          <w:tcPr>
            <w:tcW w:w="7452" w:type="dxa"/>
            <w:vAlign w:val="center"/>
          </w:tcPr>
          <w:p>
            <w:pPr>
              <w:rPr>
                <w:rFonts w:hint="eastAsia"/>
                <w:color w:val="auto"/>
              </w:rPr>
            </w:pPr>
            <w:r>
              <w:rPr>
                <w:rFonts w:hint="eastAsia"/>
                <w:color w:val="auto"/>
              </w:rPr>
              <w:t>单向脉冲、双向脉冲、补充电流脉冲、同步补充脉冲、同步双向脉冲、单向半正弦、双向半正弦、平均值（正弦）类型电流，延迟时间0-120 sec、上升时间0-10 sec、平台时间0-30 sec、下降时间0-10 sec、间歇时间0-30 sec。</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23</w:t>
            </w:r>
          </w:p>
        </w:tc>
        <w:tc>
          <w:tcPr>
            <w:tcW w:w="7452" w:type="dxa"/>
            <w:vAlign w:val="center"/>
          </w:tcPr>
          <w:p>
            <w:pPr>
              <w:rPr>
                <w:rFonts w:hint="eastAsia"/>
                <w:color w:val="auto"/>
              </w:rPr>
            </w:pPr>
            <w:r>
              <w:rPr>
                <w:rFonts w:hint="eastAsia"/>
                <w:color w:val="auto"/>
              </w:rPr>
              <w:t>每个治疗方案都具有注解、组成、电极示意图及治疗建议。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24</w:t>
            </w:r>
          </w:p>
        </w:tc>
        <w:tc>
          <w:tcPr>
            <w:tcW w:w="7452" w:type="dxa"/>
            <w:vAlign w:val="center"/>
          </w:tcPr>
          <w:p>
            <w:pPr>
              <w:rPr>
                <w:rFonts w:hint="eastAsia"/>
                <w:color w:val="auto"/>
              </w:rPr>
            </w:pPr>
            <w:r>
              <w:rPr>
                <w:rFonts w:hint="eastAsia"/>
                <w:color w:val="auto"/>
              </w:rPr>
              <w:t>方案的注解包含：适应症、禁忌症</w:t>
            </w:r>
            <w:r>
              <w:rPr>
                <w:rFonts w:hint="eastAsia"/>
                <w:color w:val="auto"/>
                <w:lang w:eastAsia="zh-CN"/>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25</w:t>
            </w:r>
          </w:p>
        </w:tc>
        <w:tc>
          <w:tcPr>
            <w:tcW w:w="7452" w:type="dxa"/>
            <w:vAlign w:val="center"/>
          </w:tcPr>
          <w:p>
            <w:pPr>
              <w:rPr>
                <w:rFonts w:hint="eastAsia"/>
                <w:color w:val="auto"/>
              </w:rPr>
            </w:pPr>
            <w:r>
              <w:rPr>
                <w:rFonts w:hint="eastAsia"/>
                <w:color w:val="auto"/>
              </w:rPr>
              <w:t>数据处理：数据可备份、统计、分析、更新，支持数据动态存储。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26</w:t>
            </w:r>
          </w:p>
        </w:tc>
        <w:tc>
          <w:tcPr>
            <w:tcW w:w="7452" w:type="dxa"/>
            <w:vAlign w:val="center"/>
          </w:tcPr>
          <w:p>
            <w:pPr>
              <w:rPr>
                <w:rFonts w:hint="eastAsia"/>
                <w:color w:val="auto"/>
              </w:rPr>
            </w:pPr>
            <w:r>
              <w:rPr>
                <w:rFonts w:hint="eastAsia"/>
                <w:color w:val="auto"/>
              </w:rPr>
              <w:t>异常情况下电流受限，设备自动停止治疗</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27</w:t>
            </w:r>
          </w:p>
        </w:tc>
        <w:tc>
          <w:tcPr>
            <w:tcW w:w="7452" w:type="dxa"/>
            <w:vAlign w:val="center"/>
          </w:tcPr>
          <w:p>
            <w:pPr>
              <w:rPr>
                <w:rFonts w:hint="eastAsia"/>
                <w:color w:val="auto"/>
              </w:rPr>
            </w:pPr>
            <w:r>
              <w:rPr>
                <w:rFonts w:hint="eastAsia"/>
                <w:color w:val="auto"/>
              </w:rPr>
              <w:t>治疗过程中</w:t>
            </w:r>
            <w:r>
              <w:rPr>
                <w:rFonts w:hint="eastAsia"/>
                <w:color w:val="auto"/>
                <w:lang w:eastAsia="zh-CN"/>
              </w:rPr>
              <w:t>至少</w:t>
            </w:r>
            <w:r>
              <w:rPr>
                <w:rFonts w:hint="eastAsia"/>
                <w:color w:val="auto"/>
              </w:rPr>
              <w:t>14种基本治疗参数可调整，包括电刺激的电流类型、强度、频率、脉宽、波形，肌电位最小值与最大值的表示、反馈训练波形，治疗时间、休息时间、电刺激上升时间、下降时间、休息时间、阶段工作时间等。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28</w:t>
            </w:r>
          </w:p>
        </w:tc>
        <w:tc>
          <w:tcPr>
            <w:tcW w:w="7452" w:type="dxa"/>
            <w:vAlign w:val="center"/>
          </w:tcPr>
          <w:p>
            <w:pPr>
              <w:rPr>
                <w:rFonts w:hint="eastAsia"/>
                <w:color w:val="auto"/>
              </w:rPr>
            </w:pPr>
            <w:r>
              <w:rPr>
                <w:rFonts w:hint="eastAsia"/>
                <w:color w:val="auto"/>
              </w:rPr>
              <w:t>治疗分类：机理≥8种：止痛、无菌性炎症、静脉淋巴、神经肌肉反射、离子导入、纤维组织、放松、营养；病理≥5种：肛门直肠、皮肤病、风湿病、肌肉痉挛、泌尿生殖。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29</w:t>
            </w:r>
          </w:p>
        </w:tc>
        <w:tc>
          <w:tcPr>
            <w:tcW w:w="7452" w:type="dxa"/>
            <w:vAlign w:val="center"/>
          </w:tcPr>
          <w:p>
            <w:pPr>
              <w:rPr>
                <w:rFonts w:hint="eastAsia" w:eastAsia="宋体"/>
                <w:lang w:eastAsia="zh-CN"/>
              </w:rPr>
            </w:pPr>
            <w:r>
              <w:rPr>
                <w:rFonts w:hint="eastAsia"/>
              </w:rPr>
              <w:t>预置治疗方案数≥262个</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30</w:t>
            </w:r>
          </w:p>
        </w:tc>
        <w:tc>
          <w:tcPr>
            <w:tcW w:w="7452" w:type="dxa"/>
            <w:vAlign w:val="center"/>
          </w:tcPr>
          <w:p>
            <w:pPr>
              <w:rPr>
                <w:rFonts w:hint="eastAsia"/>
              </w:rPr>
            </w:pPr>
            <w:r>
              <w:rPr>
                <w:rFonts w:hint="eastAsia"/>
              </w:rPr>
              <w:t>编制新的治疗方案数10万个以上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2" w:type="dxa"/>
            <w:vAlign w:val="center"/>
          </w:tcPr>
          <w:p>
            <w:pPr>
              <w:jc w:val="center"/>
              <w:rPr>
                <w:b/>
                <w:bCs/>
              </w:rPr>
            </w:pPr>
            <w:r>
              <w:rPr>
                <w:rFonts w:hint="eastAsia"/>
                <w:b/>
                <w:bCs/>
              </w:rPr>
              <w:t>31</w:t>
            </w:r>
          </w:p>
        </w:tc>
        <w:tc>
          <w:tcPr>
            <w:tcW w:w="7452" w:type="dxa"/>
            <w:vAlign w:val="center"/>
          </w:tcPr>
          <w:p>
            <w:pPr>
              <w:rPr>
                <w:rFonts w:hint="eastAsia"/>
              </w:rPr>
            </w:pPr>
            <w:r>
              <w:rPr>
                <w:rFonts w:hint="eastAsia"/>
              </w:rPr>
              <w:t>解剖学图片和电极位置图≥200张</w:t>
            </w:r>
          </w:p>
        </w:tc>
      </w:tr>
    </w:tbl>
    <w:p>
      <w:pPr>
        <w:rPr>
          <w:b/>
          <w:szCs w:val="21"/>
        </w:rPr>
      </w:pPr>
    </w:p>
    <w:p>
      <w:pPr>
        <w:rPr>
          <w:b/>
          <w:szCs w:val="21"/>
        </w:rPr>
      </w:pPr>
    </w:p>
    <w:p>
      <w:pPr>
        <w:pStyle w:val="5"/>
        <w:spacing w:before="120" w:beforeLines="50" w:after="120" w:afterLines="50"/>
        <w:rPr>
          <w:sz w:val="28"/>
          <w:szCs w:val="28"/>
        </w:rPr>
      </w:pPr>
      <w:r>
        <w:rPr>
          <w:rFonts w:hint="eastAsia"/>
          <w:sz w:val="28"/>
          <w:szCs w:val="28"/>
          <w:lang w:val="en-US" w:eastAsia="zh-CN"/>
        </w:rPr>
        <w:t>六</w:t>
      </w:r>
      <w:r>
        <w:rPr>
          <w:rFonts w:hint="eastAsia"/>
          <w:sz w:val="28"/>
          <w:szCs w:val="28"/>
        </w:rPr>
        <w:t>、商务要求</w:t>
      </w:r>
    </w:p>
    <w:p>
      <w:pPr>
        <w:ind w:firstLine="422" w:firstLineChars="200"/>
        <w:rPr>
          <w:b/>
        </w:rPr>
      </w:pPr>
      <w:r>
        <w:rPr>
          <w:rFonts w:hint="eastAsia"/>
          <w:b/>
          <w:szCs w:val="21"/>
        </w:rPr>
        <w:t>说明：</w:t>
      </w:r>
      <w:r>
        <w:rPr>
          <w:b/>
        </w:rPr>
        <w:t>1</w:t>
      </w:r>
      <w:r>
        <w:rPr>
          <w:rFonts w:hint="eastAsia"/>
          <w:b/>
        </w:rPr>
        <w:t>、评分时，如对一项招标商务要求（以划分框为准）中的内容存在两处（或以上）负偏离的，在评分时只作一项负偏离扣分。</w:t>
      </w:r>
    </w:p>
    <w:p>
      <w:pPr>
        <w:ind w:firstLine="422" w:firstLineChars="200"/>
        <w:rPr>
          <w:b/>
          <w:szCs w:val="21"/>
        </w:rPr>
      </w:pPr>
      <w:r>
        <w:rPr>
          <w:b/>
          <w:szCs w:val="21"/>
        </w:rPr>
        <w:t>2</w:t>
      </w:r>
      <w:r>
        <w:rPr>
          <w:rFonts w:hint="eastAsia"/>
          <w:b/>
          <w:szCs w:val="21"/>
        </w:rPr>
        <w:t>、带“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tbl>
      <w:tblPr>
        <w:tblStyle w:val="4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29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 w:type="dxa"/>
            <w:vAlign w:val="center"/>
          </w:tcPr>
          <w:p>
            <w:pPr>
              <w:jc w:val="center"/>
              <w:rPr>
                <w:rFonts w:ascii="宋体" w:hAnsi="宋体"/>
                <w:b/>
                <w:szCs w:val="21"/>
              </w:rPr>
            </w:pPr>
            <w:r>
              <w:rPr>
                <w:rFonts w:hint="eastAsia" w:ascii="宋体" w:hAnsi="宋体"/>
                <w:b/>
                <w:szCs w:val="21"/>
              </w:rPr>
              <w:t>序号</w:t>
            </w:r>
          </w:p>
        </w:tc>
        <w:tc>
          <w:tcPr>
            <w:tcW w:w="1296" w:type="dxa"/>
            <w:vAlign w:val="center"/>
          </w:tcPr>
          <w:p>
            <w:pPr>
              <w:jc w:val="center"/>
              <w:rPr>
                <w:rFonts w:ascii="宋体" w:hAnsi="宋体"/>
                <w:b/>
                <w:szCs w:val="21"/>
              </w:rPr>
            </w:pPr>
            <w:r>
              <w:rPr>
                <w:rFonts w:hint="eastAsia" w:ascii="宋体" w:hAnsi="宋体"/>
                <w:b/>
                <w:szCs w:val="21"/>
              </w:rPr>
              <w:t>目录</w:t>
            </w:r>
          </w:p>
        </w:tc>
        <w:tc>
          <w:tcPr>
            <w:tcW w:w="6893" w:type="dxa"/>
            <w:vAlign w:val="center"/>
          </w:tcPr>
          <w:p>
            <w:pPr>
              <w:jc w:val="center"/>
              <w:rPr>
                <w:rFonts w:ascii="宋体" w:hAnsi="宋体"/>
                <w:b/>
                <w:szCs w:val="21"/>
              </w:rPr>
            </w:pPr>
            <w:r>
              <w:rPr>
                <w:rFonts w:hint="eastAsia" w:ascii="宋体" w:hAnsi="宋体"/>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3"/>
            <w:vAlign w:val="center"/>
          </w:tcPr>
          <w:p>
            <w:pPr>
              <w:rPr>
                <w:rFonts w:ascii="宋体" w:hAnsi="宋体"/>
                <w:b/>
                <w:szCs w:val="21"/>
              </w:rPr>
            </w:pPr>
            <w:r>
              <w:rPr>
                <w:rFonts w:hint="eastAsia" w:ascii="宋体" w:hAnsi="宋体"/>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82" w:type="dxa"/>
            <w:vMerge w:val="restart"/>
            <w:vAlign w:val="center"/>
          </w:tcPr>
          <w:p>
            <w:pPr>
              <w:spacing w:line="300" w:lineRule="exact"/>
              <w:jc w:val="center"/>
              <w:rPr>
                <w:rFonts w:ascii="宋体" w:hAnsi="宋体"/>
                <w:b/>
                <w:szCs w:val="21"/>
              </w:rPr>
            </w:pPr>
            <w:r>
              <w:rPr>
                <w:rFonts w:ascii="宋体" w:hAnsi="宋体"/>
                <w:b/>
                <w:szCs w:val="21"/>
              </w:rPr>
              <w:t>1</w:t>
            </w:r>
          </w:p>
        </w:tc>
        <w:tc>
          <w:tcPr>
            <w:tcW w:w="1296" w:type="dxa"/>
            <w:vMerge w:val="restart"/>
            <w:vAlign w:val="center"/>
          </w:tcPr>
          <w:p>
            <w:pPr>
              <w:spacing w:line="300" w:lineRule="exact"/>
              <w:jc w:val="center"/>
              <w:rPr>
                <w:rFonts w:ascii="宋体" w:hAnsi="宋体"/>
                <w:szCs w:val="21"/>
              </w:rPr>
            </w:pPr>
            <w:r>
              <w:rPr>
                <w:rFonts w:hint="eastAsia" w:ascii="宋体" w:hAnsi="宋体"/>
                <w:b/>
                <w:kern w:val="0"/>
                <w:szCs w:val="21"/>
              </w:rPr>
              <w:t>维修及维护服务</w:t>
            </w:r>
          </w:p>
        </w:tc>
        <w:tc>
          <w:tcPr>
            <w:tcW w:w="6893" w:type="dxa"/>
            <w:vAlign w:val="top"/>
          </w:tcPr>
          <w:p>
            <w:pPr>
              <w:spacing w:line="320" w:lineRule="exact"/>
              <w:rPr>
                <w:rFonts w:ascii="宋体" w:hAnsi="宋体"/>
                <w:b/>
                <w:szCs w:val="21"/>
              </w:rPr>
            </w:pPr>
            <w:r>
              <w:rPr>
                <w:rFonts w:hint="eastAsia" w:ascii="宋体" w:hAnsi="宋体" w:cs="宋体"/>
                <w:bCs/>
                <w:szCs w:val="21"/>
              </w:rPr>
              <w:t>★</w:t>
            </w:r>
            <w:r>
              <w:rPr>
                <w:rFonts w:ascii="宋体" w:hAnsi="宋体"/>
                <w:kern w:val="0"/>
                <w:szCs w:val="21"/>
              </w:rPr>
              <w:t>1.1</w:t>
            </w:r>
            <w:r>
              <w:rPr>
                <w:rFonts w:hint="eastAsia" w:ascii="宋体" w:hAnsi="宋体"/>
                <w:kern w:val="0"/>
                <w:szCs w:val="21"/>
              </w:rPr>
              <w:t>各投标人应在投标文件中列明各主机、配件和易耗品的保修期限，并承诺提供</w:t>
            </w:r>
            <w:r>
              <w:rPr>
                <w:rFonts w:hint="eastAsia" w:ascii="宋体" w:hAnsi="宋体"/>
                <w:szCs w:val="21"/>
              </w:rPr>
              <w:t>超声切割止血系统、电外科能量平台（高频电外科手术系统）</w:t>
            </w:r>
            <w:r>
              <w:rPr>
                <w:rFonts w:ascii="宋体" w:hAnsi="宋体" w:cs="宋体"/>
                <w:kern w:val="0"/>
                <w:szCs w:val="21"/>
              </w:rPr>
              <w:t>主机及配件</w:t>
            </w:r>
            <w:r>
              <w:rPr>
                <w:rFonts w:hint="eastAsia" w:ascii="宋体" w:hAnsi="宋体" w:cs="宋体"/>
                <w:kern w:val="0"/>
                <w:szCs w:val="21"/>
              </w:rPr>
              <w:t>原厂</w:t>
            </w:r>
            <w:r>
              <w:rPr>
                <w:rFonts w:ascii="宋体" w:hAnsi="宋体" w:cs="宋体"/>
                <w:kern w:val="0"/>
                <w:szCs w:val="21"/>
              </w:rPr>
              <w:t>免费保修期≥</w:t>
            </w:r>
            <w:r>
              <w:rPr>
                <w:rFonts w:ascii="宋体" w:hAnsi="宋体" w:cs="宋体"/>
                <w:kern w:val="0"/>
                <w:szCs w:val="21"/>
                <w:u w:val="single"/>
              </w:rPr>
              <w:t xml:space="preserve">  </w:t>
            </w:r>
            <w:r>
              <w:rPr>
                <w:rFonts w:hint="eastAsia" w:ascii="宋体" w:hAnsi="宋体" w:cs="宋体"/>
                <w:kern w:val="0"/>
                <w:szCs w:val="21"/>
                <w:u w:val="single"/>
              </w:rPr>
              <w:t>5</w:t>
            </w:r>
            <w:r>
              <w:rPr>
                <w:rFonts w:ascii="宋体" w:hAnsi="宋体" w:cs="宋体"/>
                <w:kern w:val="0"/>
                <w:szCs w:val="21"/>
                <w:u w:val="single"/>
              </w:rPr>
              <w:t xml:space="preserve">  </w:t>
            </w:r>
            <w:r>
              <w:rPr>
                <w:rFonts w:ascii="宋体" w:hAnsi="宋体" w:cs="宋体"/>
                <w:kern w:val="0"/>
                <w:szCs w:val="21"/>
              </w:rPr>
              <w:t>年</w:t>
            </w:r>
            <w:r>
              <w:rPr>
                <w:rFonts w:hint="eastAsia" w:ascii="宋体" w:hAnsi="宋体" w:cs="宋体"/>
                <w:kern w:val="0"/>
                <w:szCs w:val="21"/>
              </w:rPr>
              <w:t>，其余设备主机</w:t>
            </w:r>
            <w:r>
              <w:rPr>
                <w:rFonts w:hint="eastAsia" w:ascii="宋体" w:hAnsi="宋体"/>
                <w:kern w:val="0"/>
                <w:szCs w:val="21"/>
              </w:rPr>
              <w:t>及配件原厂免费保修期≥</w:t>
            </w:r>
            <w:r>
              <w:rPr>
                <w:rFonts w:hint="eastAsia" w:ascii="宋体" w:hAnsi="宋体"/>
                <w:bCs/>
                <w:kern w:val="0"/>
                <w:szCs w:val="21"/>
                <w:u w:val="single"/>
              </w:rPr>
              <w:t xml:space="preserve">  3  </w:t>
            </w:r>
            <w:r>
              <w:rPr>
                <w:rFonts w:hint="eastAsia" w:ascii="宋体" w:hAnsi="宋体"/>
                <w:kern w:val="0"/>
                <w:szCs w:val="21"/>
              </w:rPr>
              <w:t>年</w:t>
            </w:r>
            <w:r>
              <w:rPr>
                <w:rFonts w:hint="eastAsia" w:ascii="宋体" w:hAnsi="宋体" w:cs="宋体"/>
                <w:kern w:val="0"/>
                <w:szCs w:val="21"/>
              </w:rPr>
              <w:t>。</w:t>
            </w:r>
            <w:r>
              <w:rPr>
                <w:rFonts w:hint="eastAsia" w:ascii="Times New Roman" w:hAnsi="Times New Roman"/>
              </w:rPr>
              <w:t>保修期以验收合格，双方代表签署“性能验收报告”之日起计算。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rPr>
                <w:rFonts w:ascii="宋体" w:hAnsi="宋体"/>
                <w:b/>
                <w:kern w:val="0"/>
                <w:szCs w:val="21"/>
              </w:rPr>
            </w:pPr>
          </w:p>
        </w:tc>
        <w:tc>
          <w:tcPr>
            <w:tcW w:w="6893" w:type="dxa"/>
            <w:vAlign w:val="top"/>
          </w:tcPr>
          <w:p>
            <w:pPr>
              <w:spacing w:line="320" w:lineRule="exact"/>
              <w:rPr>
                <w:rFonts w:ascii="宋体" w:hAnsi="宋体"/>
                <w:bCs/>
                <w:szCs w:val="21"/>
              </w:rPr>
            </w:pPr>
            <w:r>
              <w:rPr>
                <w:rFonts w:ascii="宋体" w:hAnsi="宋体"/>
                <w:kern w:val="0"/>
                <w:szCs w:val="21"/>
              </w:rPr>
              <w:t>1.2</w:t>
            </w:r>
            <w:r>
              <w:rPr>
                <w:rFonts w:hint="eastAsia" w:ascii="宋体" w:hAnsi="宋体"/>
                <w:kern w:val="0"/>
                <w:szCs w:val="21"/>
              </w:rPr>
              <w:t>由生产厂家提供售后服务，</w:t>
            </w:r>
            <w:r>
              <w:rPr>
                <w:rFonts w:hint="eastAsia" w:ascii="宋体" w:hAnsi="宋体"/>
                <w:kern w:val="0"/>
                <w:szCs w:val="21"/>
                <w:u w:val="single"/>
              </w:rPr>
              <w:t xml:space="preserve">  2  </w:t>
            </w:r>
            <w:r>
              <w:rPr>
                <w:rFonts w:hint="eastAsia" w:ascii="宋体" w:hAnsi="宋体"/>
                <w:kern w:val="0"/>
                <w:szCs w:val="21"/>
              </w:rPr>
              <w:t>小时内响应，</w:t>
            </w:r>
            <w:r>
              <w:rPr>
                <w:rFonts w:hint="eastAsia" w:ascii="宋体" w:hAnsi="宋体"/>
                <w:kern w:val="0"/>
                <w:szCs w:val="21"/>
                <w:u w:val="single"/>
              </w:rPr>
              <w:t xml:space="preserve">  24  </w:t>
            </w:r>
            <w:r>
              <w:rPr>
                <w:rFonts w:hint="eastAsia" w:ascii="宋体" w:hAnsi="宋体"/>
                <w:kern w:val="0"/>
                <w:szCs w:val="21"/>
              </w:rPr>
              <w:t>小时维修到位。消耗品和零配件供应及时，特殊情况下可提供备用机。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rPr>
                <w:rFonts w:ascii="宋体" w:hAnsi="宋体"/>
                <w:b/>
                <w:kern w:val="0"/>
                <w:szCs w:val="21"/>
              </w:rPr>
            </w:pPr>
          </w:p>
        </w:tc>
        <w:tc>
          <w:tcPr>
            <w:tcW w:w="6893" w:type="dxa"/>
            <w:vAlign w:val="top"/>
          </w:tcPr>
          <w:p>
            <w:pPr>
              <w:spacing w:line="320" w:lineRule="exact"/>
              <w:rPr>
                <w:rFonts w:ascii="宋体" w:hAnsi="宋体"/>
                <w:kern w:val="0"/>
                <w:szCs w:val="21"/>
              </w:rPr>
            </w:pPr>
            <w:r>
              <w:rPr>
                <w:rFonts w:hint="eastAsia" w:ascii="宋体" w:hAnsi="宋体"/>
                <w:kern w:val="0"/>
                <w:szCs w:val="21"/>
              </w:rPr>
              <w:t>1.3保修期内，生产厂家每年最少提供</w:t>
            </w:r>
            <w:r>
              <w:rPr>
                <w:rFonts w:hint="eastAsia" w:ascii="宋体" w:hAnsi="宋体"/>
                <w:bCs/>
                <w:kern w:val="0"/>
                <w:szCs w:val="21"/>
                <w:u w:val="single"/>
              </w:rPr>
              <w:t xml:space="preserve">  4  </w:t>
            </w:r>
            <w:r>
              <w:rPr>
                <w:rFonts w:hint="eastAsia" w:ascii="宋体" w:hAnsi="宋体"/>
                <w:kern w:val="0"/>
                <w:szCs w:val="21"/>
              </w:rPr>
              <w:t>次免费保养，执行QA，按照厂家标准进行调校，以及对数据库或软件等进行清理和备份，确认各项技术指标及性能，保养中需更换的损耗品由生产厂家免费提供。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rPr>
                <w:rFonts w:ascii="宋体" w:hAnsi="宋体"/>
                <w:b/>
                <w:kern w:val="0"/>
                <w:szCs w:val="21"/>
              </w:rPr>
            </w:pPr>
          </w:p>
        </w:tc>
        <w:tc>
          <w:tcPr>
            <w:tcW w:w="6893" w:type="dxa"/>
            <w:vAlign w:val="top"/>
          </w:tcPr>
          <w:p>
            <w:pPr>
              <w:spacing w:line="320" w:lineRule="exact"/>
              <w:rPr>
                <w:rFonts w:ascii="宋体" w:hAnsi="宋体"/>
                <w:bCs/>
                <w:szCs w:val="21"/>
              </w:rPr>
            </w:pPr>
            <w:r>
              <w:rPr>
                <w:rFonts w:hint="eastAsia" w:ascii="宋体" w:hAnsi="宋体"/>
                <w:kern w:val="0"/>
                <w:szCs w:val="21"/>
              </w:rPr>
              <w:t>1.4保修期内，设备主机及配件免费维修、免费更换、免工时费。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rPr>
                <w:rFonts w:ascii="宋体" w:hAnsi="宋体"/>
                <w:b/>
                <w:kern w:val="0"/>
                <w:szCs w:val="21"/>
              </w:rPr>
            </w:pPr>
          </w:p>
        </w:tc>
        <w:tc>
          <w:tcPr>
            <w:tcW w:w="6893" w:type="dxa"/>
            <w:vAlign w:val="top"/>
          </w:tcPr>
          <w:p>
            <w:pPr>
              <w:spacing w:line="320" w:lineRule="exact"/>
              <w:rPr>
                <w:rFonts w:ascii="宋体" w:hAnsi="宋体"/>
                <w:kern w:val="0"/>
                <w:szCs w:val="21"/>
              </w:rPr>
            </w:pPr>
            <w:r>
              <w:rPr>
                <w:rFonts w:hint="eastAsia" w:ascii="宋体" w:hAnsi="宋体"/>
                <w:bCs/>
                <w:kern w:val="0"/>
                <w:szCs w:val="21"/>
              </w:rPr>
              <w:t>1.5保修期内，含软件设备由</w:t>
            </w:r>
            <w:r>
              <w:rPr>
                <w:rFonts w:hint="eastAsia" w:ascii="宋体" w:hAnsi="宋体"/>
                <w:kern w:val="0"/>
                <w:szCs w:val="21"/>
              </w:rPr>
              <w:t>投标人提供软件终身免费升级服务，</w:t>
            </w:r>
            <w:r>
              <w:rPr>
                <w:rFonts w:hint="eastAsia" w:ascii="宋体" w:hAnsi="宋体"/>
                <w:bCs/>
                <w:kern w:val="0"/>
                <w:szCs w:val="21"/>
              </w:rPr>
              <w:t>并提供该设备与医院所有信息系统数据接口免费对接服务，次数不限，且符合医院信息安全管理要求。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82" w:type="dxa"/>
            <w:vAlign w:val="center"/>
          </w:tcPr>
          <w:p>
            <w:pPr>
              <w:spacing w:line="300" w:lineRule="exact"/>
              <w:jc w:val="center"/>
              <w:rPr>
                <w:rFonts w:ascii="宋体" w:hAnsi="宋体"/>
                <w:b/>
                <w:szCs w:val="21"/>
              </w:rPr>
            </w:pPr>
            <w:r>
              <w:rPr>
                <w:rFonts w:ascii="宋体" w:hAnsi="宋体"/>
                <w:b/>
                <w:szCs w:val="21"/>
              </w:rPr>
              <w:t>2</w:t>
            </w:r>
          </w:p>
        </w:tc>
        <w:tc>
          <w:tcPr>
            <w:tcW w:w="1296" w:type="dxa"/>
            <w:vAlign w:val="center"/>
          </w:tcPr>
          <w:p>
            <w:pPr>
              <w:spacing w:line="300" w:lineRule="exact"/>
              <w:jc w:val="center"/>
              <w:rPr>
                <w:rFonts w:ascii="宋体" w:hAnsi="宋体"/>
                <w:szCs w:val="21"/>
              </w:rPr>
            </w:pPr>
            <w:r>
              <w:rPr>
                <w:rFonts w:hint="eastAsia" w:ascii="宋体" w:hAnsi="宋体"/>
                <w:b/>
                <w:kern w:val="0"/>
                <w:szCs w:val="21"/>
              </w:rPr>
              <w:t>质量保证</w:t>
            </w:r>
          </w:p>
        </w:tc>
        <w:tc>
          <w:tcPr>
            <w:tcW w:w="6893" w:type="dxa"/>
            <w:vAlign w:val="top"/>
          </w:tcPr>
          <w:p>
            <w:pPr>
              <w:spacing w:line="320" w:lineRule="exact"/>
              <w:rPr>
                <w:rFonts w:hint="eastAsia" w:ascii="宋体" w:hAnsi="宋体"/>
                <w:kern w:val="0"/>
                <w:szCs w:val="21"/>
              </w:rPr>
            </w:pPr>
            <w:r>
              <w:rPr>
                <w:rFonts w:hint="eastAsia" w:ascii="宋体" w:hAnsi="宋体"/>
                <w:kern w:val="0"/>
                <w:szCs w:val="21"/>
              </w:rPr>
              <w:t>2.1在保修期内，投标人保证设备的年开机率＞95%；若不能达到此开机率，将作以下处理：（1）开机率在90%～95%之间按一赔二延长保修期；（2）开机率在85%～90%之间按一赔五延长保修期；（3）开机率低于85%，供应商应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3"/>
            <w:vAlign w:val="center"/>
          </w:tcPr>
          <w:p>
            <w:pPr>
              <w:spacing w:line="300" w:lineRule="exact"/>
              <w:rPr>
                <w:rFonts w:ascii="宋体" w:hAnsi="宋体"/>
                <w:b/>
                <w:szCs w:val="21"/>
              </w:rPr>
            </w:pPr>
            <w:r>
              <w:rPr>
                <w:rFonts w:hint="eastAsia" w:ascii="宋体" w:hAnsi="宋体"/>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vAlign w:val="center"/>
          </w:tcPr>
          <w:p>
            <w:pPr>
              <w:spacing w:line="300" w:lineRule="exact"/>
              <w:jc w:val="center"/>
              <w:rPr>
                <w:rFonts w:ascii="宋体" w:hAnsi="宋体"/>
                <w:b/>
                <w:szCs w:val="21"/>
              </w:rPr>
            </w:pPr>
            <w:r>
              <w:rPr>
                <w:rFonts w:ascii="宋体" w:hAnsi="宋体"/>
                <w:b/>
                <w:szCs w:val="21"/>
              </w:rPr>
              <w:t>1</w:t>
            </w:r>
          </w:p>
        </w:tc>
        <w:tc>
          <w:tcPr>
            <w:tcW w:w="1296" w:type="dxa"/>
            <w:vMerge w:val="restart"/>
            <w:vAlign w:val="center"/>
          </w:tcPr>
          <w:p>
            <w:pPr>
              <w:spacing w:line="300" w:lineRule="exact"/>
              <w:jc w:val="center"/>
              <w:rPr>
                <w:rFonts w:hint="eastAsia" w:ascii="宋体" w:hAnsi="宋体"/>
                <w:b/>
                <w:szCs w:val="21"/>
              </w:rPr>
            </w:pPr>
            <w:r>
              <w:rPr>
                <w:rFonts w:hint="eastAsia" w:ascii="宋体" w:hAnsi="宋体"/>
                <w:b/>
                <w:kern w:val="0"/>
                <w:szCs w:val="21"/>
              </w:rPr>
              <w:t>维修服务和优惠价格</w:t>
            </w:r>
          </w:p>
        </w:tc>
        <w:tc>
          <w:tcPr>
            <w:tcW w:w="6893" w:type="dxa"/>
            <w:vAlign w:val="top"/>
          </w:tcPr>
          <w:p>
            <w:pPr>
              <w:spacing w:line="320" w:lineRule="exact"/>
              <w:rPr>
                <w:rFonts w:hint="eastAsia" w:ascii="宋体" w:hAnsi="宋体"/>
                <w:kern w:val="0"/>
                <w:szCs w:val="21"/>
              </w:rPr>
            </w:pPr>
            <w:r>
              <w:rPr>
                <w:rFonts w:hint="eastAsia"/>
              </w:rPr>
              <w:t>1.1由生产厂家提供售后服务，</w:t>
            </w:r>
            <w:r>
              <w:rPr>
                <w:rFonts w:hint="eastAsia" w:ascii="宋体" w:hAnsi="宋体"/>
                <w:kern w:val="0"/>
                <w:szCs w:val="21"/>
                <w:u w:val="single"/>
              </w:rPr>
              <w:t xml:space="preserve">  2  </w:t>
            </w:r>
            <w:r>
              <w:rPr>
                <w:rFonts w:hint="eastAsia" w:ascii="宋体" w:hAnsi="宋体"/>
                <w:kern w:val="0"/>
                <w:szCs w:val="21"/>
              </w:rPr>
              <w:t>小时内响应，</w:t>
            </w:r>
            <w:r>
              <w:rPr>
                <w:rFonts w:hint="eastAsia" w:ascii="宋体" w:hAnsi="宋体"/>
                <w:kern w:val="0"/>
                <w:szCs w:val="21"/>
                <w:u w:val="single"/>
              </w:rPr>
              <w:t xml:space="preserve">  24  </w:t>
            </w:r>
            <w:r>
              <w:rPr>
                <w:rFonts w:hint="eastAsia" w:ascii="宋体" w:hAnsi="宋体"/>
                <w:kern w:val="0"/>
                <w:szCs w:val="21"/>
              </w:rPr>
              <w:t>小时维修到位。消耗品和零配件供应及时，特殊情况下可提供备用机。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jc w:val="center"/>
              <w:rPr>
                <w:rFonts w:hint="eastAsia" w:ascii="宋体" w:hAnsi="宋体"/>
                <w:b/>
                <w:kern w:val="0"/>
                <w:szCs w:val="21"/>
              </w:rPr>
            </w:pPr>
          </w:p>
        </w:tc>
        <w:tc>
          <w:tcPr>
            <w:tcW w:w="6893" w:type="dxa"/>
            <w:vAlign w:val="top"/>
          </w:tcPr>
          <w:p>
            <w:pPr>
              <w:spacing w:line="320" w:lineRule="exact"/>
              <w:rPr>
                <w:rFonts w:hint="eastAsia"/>
              </w:rPr>
            </w:pPr>
            <w:r>
              <w:rPr>
                <w:rFonts w:hint="eastAsia"/>
              </w:rPr>
              <w:t>1.2</w:t>
            </w:r>
            <w:r>
              <w:rPr>
                <w:rFonts w:hint="eastAsia" w:ascii="宋体" w:hAnsi="宋体"/>
                <w:szCs w:val="21"/>
              </w:rPr>
              <w:t>终身维修，保修期满后，生产厂家对用户进行的售后服务只收更换部件的成本费，提供</w:t>
            </w:r>
            <w:r>
              <w:rPr>
                <w:rFonts w:hint="eastAsia" w:ascii="宋体" w:hAnsi="宋体"/>
                <w:kern w:val="0"/>
                <w:szCs w:val="21"/>
              </w:rPr>
              <w:t>维修零配件、消耗品</w:t>
            </w:r>
            <w:r>
              <w:rPr>
                <w:rFonts w:hint="eastAsia" w:ascii="宋体" w:hAnsi="宋体"/>
                <w:szCs w:val="21"/>
              </w:rPr>
              <w:t>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jc w:val="center"/>
              <w:rPr>
                <w:rFonts w:hint="eastAsia" w:ascii="宋体" w:hAnsi="宋体"/>
                <w:b/>
                <w:kern w:val="0"/>
                <w:szCs w:val="21"/>
              </w:rPr>
            </w:pPr>
          </w:p>
        </w:tc>
        <w:tc>
          <w:tcPr>
            <w:tcW w:w="6893" w:type="dxa"/>
            <w:vAlign w:val="top"/>
          </w:tcPr>
          <w:p>
            <w:pPr>
              <w:spacing w:line="320" w:lineRule="exact"/>
              <w:rPr>
                <w:rFonts w:hint="eastAsia"/>
              </w:rPr>
            </w:pPr>
            <w:r>
              <w:rPr>
                <w:rFonts w:hint="eastAsia"/>
              </w:rPr>
              <w:t>1.3采购人可与投标人就优惠价进行谈判，但优惠价不得高于投标人在投标文件中承诺的</w:t>
            </w:r>
            <w:r>
              <w:rPr>
                <w:rFonts w:hint="eastAsia" w:ascii="宋体" w:hAnsi="宋体"/>
                <w:kern w:val="0"/>
                <w:szCs w:val="21"/>
              </w:rPr>
              <w:t>消耗品、零配件</w:t>
            </w:r>
            <w:r>
              <w:rPr>
                <w:rFonts w:hint="eastAsia"/>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jc w:val="center"/>
              <w:rPr>
                <w:rFonts w:hint="eastAsia" w:ascii="宋体" w:hAnsi="宋体"/>
                <w:b/>
                <w:kern w:val="0"/>
                <w:szCs w:val="21"/>
              </w:rPr>
            </w:pPr>
          </w:p>
        </w:tc>
        <w:tc>
          <w:tcPr>
            <w:tcW w:w="6893" w:type="dxa"/>
            <w:vAlign w:val="top"/>
          </w:tcPr>
          <w:p>
            <w:pPr>
              <w:spacing w:line="320" w:lineRule="exact"/>
              <w:rPr>
                <w:rFonts w:hint="eastAsia"/>
              </w:rPr>
            </w:pPr>
            <w:r>
              <w:rPr>
                <w:rFonts w:hint="eastAsia"/>
              </w:rPr>
              <w:t>1.4生产厂家维修的货物经采购人验收合格，且厂家提供维修专用发票后，采购人支付维修费用。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82" w:type="dxa"/>
            <w:vMerge w:val="continue"/>
            <w:vAlign w:val="center"/>
          </w:tcPr>
          <w:p>
            <w:pPr>
              <w:spacing w:line="300" w:lineRule="exact"/>
              <w:jc w:val="center"/>
              <w:rPr>
                <w:rFonts w:ascii="宋体" w:hAnsi="宋体"/>
                <w:b/>
                <w:szCs w:val="21"/>
              </w:rPr>
            </w:pPr>
          </w:p>
        </w:tc>
        <w:tc>
          <w:tcPr>
            <w:tcW w:w="1296" w:type="dxa"/>
            <w:vMerge w:val="continue"/>
            <w:vAlign w:val="center"/>
          </w:tcPr>
          <w:p>
            <w:pPr>
              <w:spacing w:line="300" w:lineRule="exact"/>
              <w:jc w:val="center"/>
              <w:rPr>
                <w:rFonts w:hint="eastAsia" w:ascii="宋体" w:hAnsi="宋体"/>
                <w:b/>
                <w:kern w:val="0"/>
                <w:szCs w:val="21"/>
              </w:rPr>
            </w:pPr>
          </w:p>
        </w:tc>
        <w:tc>
          <w:tcPr>
            <w:tcW w:w="6893" w:type="dxa"/>
            <w:vAlign w:val="top"/>
          </w:tcPr>
          <w:p>
            <w:pPr>
              <w:spacing w:line="320" w:lineRule="exact"/>
              <w:rPr>
                <w:rFonts w:hint="eastAsia"/>
              </w:rPr>
            </w:pPr>
            <w:r>
              <w:rPr>
                <w:rFonts w:hint="eastAsia"/>
              </w:rPr>
              <w:t>1.5投标人及生产厂家不得以任何理由不按时进行维修，不得要求采购人购买所谓“保修服务”（即：不论设备有无故障，先买保修服务），不得在设备中嵌设任何不利于采购人使用与维修设备的障碍。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gridSpan w:val="3"/>
            <w:vAlign w:val="center"/>
          </w:tcPr>
          <w:p>
            <w:pPr>
              <w:rPr>
                <w:rFonts w:ascii="宋体" w:hAnsi="宋体"/>
                <w:b/>
                <w:szCs w:val="21"/>
              </w:rPr>
            </w:pPr>
            <w:r>
              <w:rPr>
                <w:rFonts w:hint="eastAsia" w:ascii="宋体" w:hAnsi="宋体"/>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882" w:type="dxa"/>
            <w:vMerge w:val="restart"/>
            <w:vAlign w:val="center"/>
          </w:tcPr>
          <w:p>
            <w:pPr>
              <w:jc w:val="center"/>
              <w:rPr>
                <w:rFonts w:ascii="宋体" w:hAnsi="宋体"/>
                <w:b/>
                <w:szCs w:val="21"/>
              </w:rPr>
            </w:pPr>
            <w:r>
              <w:rPr>
                <w:rFonts w:ascii="宋体" w:hAnsi="宋体"/>
                <w:b/>
                <w:szCs w:val="21"/>
              </w:rPr>
              <w:t>1</w:t>
            </w:r>
          </w:p>
        </w:tc>
        <w:tc>
          <w:tcPr>
            <w:tcW w:w="1296" w:type="dxa"/>
            <w:vMerge w:val="restart"/>
            <w:vAlign w:val="center"/>
          </w:tcPr>
          <w:p>
            <w:pPr>
              <w:jc w:val="center"/>
              <w:rPr>
                <w:rFonts w:ascii="宋体" w:hAnsi="宋体"/>
                <w:szCs w:val="21"/>
              </w:rPr>
            </w:pPr>
            <w:r>
              <w:rPr>
                <w:rFonts w:hint="eastAsia" w:ascii="宋体" w:hAnsi="宋体"/>
                <w:b/>
                <w:szCs w:val="21"/>
              </w:rPr>
              <w:t>交货要求</w:t>
            </w:r>
          </w:p>
        </w:tc>
        <w:tc>
          <w:tcPr>
            <w:tcW w:w="6893" w:type="dxa"/>
            <w:vAlign w:val="top"/>
          </w:tcPr>
          <w:p>
            <w:pPr>
              <w:spacing w:line="320" w:lineRule="atLeast"/>
              <w:rPr>
                <w:rFonts w:ascii="宋体" w:hAnsi="宋体"/>
                <w:b/>
                <w:szCs w:val="21"/>
              </w:rPr>
            </w:pPr>
            <w:r>
              <w:rPr>
                <w:rFonts w:hint="eastAsia" w:ascii="宋体" w:hAnsi="宋体" w:cs="宋体"/>
                <w:bCs/>
                <w:szCs w:val="21"/>
              </w:rPr>
              <w:t>★</w:t>
            </w:r>
            <w:r>
              <w:rPr>
                <w:rFonts w:ascii="宋体" w:hAnsi="宋体"/>
                <w:bCs/>
                <w:szCs w:val="21"/>
              </w:rPr>
              <w:t>1.1</w:t>
            </w:r>
            <w:r>
              <w:rPr>
                <w:rFonts w:hint="eastAsia" w:ascii="宋体" w:hAnsi="宋体"/>
                <w:bCs/>
                <w:kern w:val="0"/>
                <w:szCs w:val="21"/>
              </w:rPr>
              <w:t>投标人在签订合同之日起</w:t>
            </w:r>
            <w:r>
              <w:rPr>
                <w:rFonts w:hint="eastAsia" w:ascii="宋体" w:hAnsi="宋体"/>
                <w:bCs/>
                <w:kern w:val="0"/>
                <w:szCs w:val="21"/>
                <w:u w:val="single"/>
              </w:rPr>
              <w:t xml:space="preserve">  30  </w:t>
            </w:r>
            <w:r>
              <w:rPr>
                <w:rFonts w:hint="eastAsia" w:ascii="宋体" w:hAnsi="宋体"/>
                <w:bCs/>
                <w:kern w:val="0"/>
                <w:szCs w:val="21"/>
              </w:rPr>
              <w:t>天（日历日）内交货。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82" w:type="dxa"/>
            <w:vMerge w:val="continue"/>
            <w:vAlign w:val="center"/>
          </w:tcPr>
          <w:p>
            <w:pPr>
              <w:jc w:val="center"/>
              <w:rPr>
                <w:rFonts w:ascii="宋体" w:hAnsi="宋体"/>
                <w:b/>
                <w:szCs w:val="21"/>
              </w:rPr>
            </w:pPr>
          </w:p>
        </w:tc>
        <w:tc>
          <w:tcPr>
            <w:tcW w:w="1296" w:type="dxa"/>
            <w:vMerge w:val="continue"/>
            <w:vAlign w:val="center"/>
          </w:tcPr>
          <w:p>
            <w:pPr>
              <w:jc w:val="center"/>
              <w:rPr>
                <w:rFonts w:ascii="宋体" w:hAnsi="宋体"/>
                <w:szCs w:val="21"/>
              </w:rPr>
            </w:pPr>
          </w:p>
        </w:tc>
        <w:tc>
          <w:tcPr>
            <w:tcW w:w="6893" w:type="dxa"/>
            <w:vAlign w:val="top"/>
          </w:tcPr>
          <w:p>
            <w:pPr>
              <w:spacing w:line="320" w:lineRule="atLeast"/>
              <w:rPr>
                <w:rFonts w:ascii="宋体" w:hAnsi="宋体"/>
                <w:bCs/>
                <w:szCs w:val="21"/>
              </w:rPr>
            </w:pPr>
            <w:r>
              <w:rPr>
                <w:rFonts w:ascii="宋体" w:hAnsi="宋体"/>
                <w:bCs/>
                <w:szCs w:val="21"/>
              </w:rPr>
              <w:t>1.2</w:t>
            </w:r>
            <w:r>
              <w:rPr>
                <w:rFonts w:hint="eastAsia" w:ascii="宋体" w:hAnsi="宋体"/>
                <w:bCs/>
                <w:szCs w:val="21"/>
              </w:rPr>
              <w:t>投标人</w:t>
            </w:r>
            <w:r>
              <w:rPr>
                <w:rFonts w:hint="eastAsia" w:ascii="宋体" w:hAnsi="宋体"/>
                <w:kern w:val="0"/>
                <w:szCs w:val="21"/>
              </w:rPr>
              <w:t>应提供货物的技术文件，包括但不限于设备配置清单、产品说明书、图纸、操作手册、维护手册（含维修密码及接口数据）、质量证明文件（含厂家出具的出厂合格证）、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82" w:type="dxa"/>
            <w:vMerge w:val="continue"/>
            <w:vAlign w:val="center"/>
          </w:tcPr>
          <w:p>
            <w:pPr>
              <w:jc w:val="center"/>
              <w:rPr>
                <w:rFonts w:ascii="宋体" w:hAnsi="宋体"/>
                <w:b/>
                <w:szCs w:val="21"/>
              </w:rPr>
            </w:pPr>
          </w:p>
        </w:tc>
        <w:tc>
          <w:tcPr>
            <w:tcW w:w="1296" w:type="dxa"/>
            <w:vMerge w:val="continue"/>
            <w:vAlign w:val="center"/>
          </w:tcPr>
          <w:p>
            <w:pPr>
              <w:jc w:val="center"/>
              <w:rPr>
                <w:rFonts w:ascii="宋体" w:hAnsi="宋体"/>
                <w:szCs w:val="21"/>
              </w:rPr>
            </w:pPr>
          </w:p>
        </w:tc>
        <w:tc>
          <w:tcPr>
            <w:tcW w:w="6893" w:type="dxa"/>
            <w:vAlign w:val="top"/>
          </w:tcPr>
          <w:p>
            <w:pPr>
              <w:spacing w:line="320" w:lineRule="atLeast"/>
              <w:rPr>
                <w:rFonts w:hint="eastAsia" w:ascii="宋体" w:hAnsi="宋体"/>
                <w:bCs/>
                <w:szCs w:val="21"/>
              </w:rPr>
            </w:pPr>
            <w:r>
              <w:rPr>
                <w:rFonts w:ascii="宋体" w:hAnsi="宋体"/>
                <w:spacing w:val="-3"/>
                <w:szCs w:val="21"/>
              </w:rPr>
              <w:t>1.3</w:t>
            </w:r>
            <w:r>
              <w:rPr>
                <w:rFonts w:hint="eastAsia" w:ascii="宋体" w:hAnsi="宋体"/>
                <w:spacing w:val="-3"/>
                <w:szCs w:val="21"/>
              </w:rPr>
              <w:t>提供的货物必须为全新、经检验合格的产品。产品如需要计量检定的应提供相关计量检定部门出具的合法检定报告。其中，进口设备必须提供相关进口资料。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82" w:type="dxa"/>
            <w:vMerge w:val="restart"/>
            <w:vAlign w:val="center"/>
          </w:tcPr>
          <w:p>
            <w:pPr>
              <w:jc w:val="center"/>
              <w:rPr>
                <w:rFonts w:ascii="宋体" w:hAnsi="宋体"/>
                <w:b/>
                <w:szCs w:val="21"/>
              </w:rPr>
            </w:pPr>
            <w:r>
              <w:rPr>
                <w:rFonts w:ascii="宋体" w:hAnsi="宋体"/>
                <w:b/>
                <w:szCs w:val="21"/>
              </w:rPr>
              <w:t>2</w:t>
            </w:r>
          </w:p>
        </w:tc>
        <w:tc>
          <w:tcPr>
            <w:tcW w:w="1296" w:type="dxa"/>
            <w:vMerge w:val="restart"/>
            <w:vAlign w:val="center"/>
          </w:tcPr>
          <w:p>
            <w:pPr>
              <w:jc w:val="center"/>
              <w:rPr>
                <w:rFonts w:ascii="宋体" w:hAnsi="宋体"/>
                <w:szCs w:val="21"/>
              </w:rPr>
            </w:pPr>
            <w:r>
              <w:rPr>
                <w:rFonts w:hint="eastAsia" w:ascii="宋体" w:hAnsi="宋体"/>
                <w:b/>
                <w:bCs/>
                <w:kern w:val="0"/>
                <w:szCs w:val="21"/>
              </w:rPr>
              <w:t>运输、安装和验收</w:t>
            </w:r>
          </w:p>
        </w:tc>
        <w:tc>
          <w:tcPr>
            <w:tcW w:w="6893" w:type="dxa"/>
            <w:vAlign w:val="top"/>
          </w:tcPr>
          <w:p>
            <w:pPr>
              <w:spacing w:line="320" w:lineRule="atLeast"/>
              <w:rPr>
                <w:rFonts w:ascii="宋体" w:hAnsi="宋体"/>
                <w:bCs/>
                <w:szCs w:val="21"/>
              </w:rPr>
            </w:pPr>
            <w:r>
              <w:rPr>
                <w:rFonts w:ascii="宋体" w:hAnsi="宋体"/>
                <w:bCs/>
                <w:szCs w:val="21"/>
              </w:rPr>
              <w:t>2.1</w:t>
            </w:r>
            <w:r>
              <w:rPr>
                <w:rFonts w:hint="eastAsia" w:ascii="宋体" w:hAnsi="宋体"/>
                <w:bCs/>
                <w:szCs w:val="21"/>
              </w:rPr>
              <w:t>投标人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82" w:type="dxa"/>
            <w:vMerge w:val="continue"/>
            <w:vAlign w:val="center"/>
          </w:tcPr>
          <w:p>
            <w:pPr>
              <w:jc w:val="center"/>
              <w:rPr>
                <w:rFonts w:ascii="宋体" w:hAnsi="宋体"/>
                <w:b/>
                <w:szCs w:val="21"/>
              </w:rPr>
            </w:pPr>
          </w:p>
        </w:tc>
        <w:tc>
          <w:tcPr>
            <w:tcW w:w="1296" w:type="dxa"/>
            <w:vMerge w:val="continue"/>
            <w:vAlign w:val="top"/>
          </w:tcPr>
          <w:p>
            <w:pPr>
              <w:rPr>
                <w:rFonts w:ascii="宋体" w:hAnsi="宋体"/>
                <w:b/>
                <w:szCs w:val="21"/>
              </w:rPr>
            </w:pPr>
          </w:p>
        </w:tc>
        <w:tc>
          <w:tcPr>
            <w:tcW w:w="6893" w:type="dxa"/>
            <w:vAlign w:val="top"/>
          </w:tcPr>
          <w:p>
            <w:pPr>
              <w:tabs>
                <w:tab w:val="left" w:pos="1260"/>
              </w:tabs>
              <w:spacing w:line="320" w:lineRule="atLeast"/>
              <w:rPr>
                <w:rFonts w:ascii="宋体" w:hAnsi="宋体"/>
                <w:bCs/>
                <w:szCs w:val="21"/>
              </w:rPr>
            </w:pPr>
            <w:r>
              <w:rPr>
                <w:rFonts w:ascii="宋体" w:hAnsi="宋体"/>
                <w:bCs/>
                <w:szCs w:val="21"/>
              </w:rPr>
              <w:t>2.2</w:t>
            </w:r>
            <w:r>
              <w:rPr>
                <w:rFonts w:hint="eastAsia" w:ascii="宋体" w:hAnsi="宋体"/>
                <w:bCs/>
                <w:kern w:val="0"/>
                <w:szCs w:val="21"/>
              </w:rPr>
              <w:t>货物安装前厂家需派专业工程师到现场确认场地及安装环境是否符合该设备安装要求，在用户单位、中标人双方在场情况下开箱检验。在安装过程中若造成机器损坏，应由中标人负责修复，安装后保证产品质量。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82" w:type="dxa"/>
            <w:vMerge w:val="continue"/>
            <w:vAlign w:val="center"/>
          </w:tcPr>
          <w:p>
            <w:pPr>
              <w:jc w:val="center"/>
              <w:rPr>
                <w:rFonts w:ascii="宋体" w:hAnsi="宋体"/>
                <w:b/>
                <w:szCs w:val="21"/>
              </w:rPr>
            </w:pPr>
          </w:p>
        </w:tc>
        <w:tc>
          <w:tcPr>
            <w:tcW w:w="1296" w:type="dxa"/>
            <w:vMerge w:val="continue"/>
            <w:vAlign w:val="top"/>
          </w:tcPr>
          <w:p>
            <w:pPr>
              <w:rPr>
                <w:rFonts w:ascii="宋体" w:hAnsi="宋体"/>
                <w:b/>
                <w:szCs w:val="21"/>
              </w:rPr>
            </w:pPr>
          </w:p>
        </w:tc>
        <w:tc>
          <w:tcPr>
            <w:tcW w:w="6893" w:type="dxa"/>
            <w:vAlign w:val="top"/>
          </w:tcPr>
          <w:p>
            <w:pPr>
              <w:tabs>
                <w:tab w:val="left" w:pos="1260"/>
              </w:tabs>
              <w:spacing w:line="320" w:lineRule="atLeast"/>
              <w:rPr>
                <w:rFonts w:hint="eastAsia" w:ascii="宋体" w:hAnsi="宋体"/>
                <w:spacing w:val="-3"/>
                <w:szCs w:val="21"/>
              </w:rPr>
            </w:pPr>
            <w:r>
              <w:rPr>
                <w:rFonts w:hint="eastAsia" w:ascii="宋体" w:hAnsi="宋体"/>
                <w:bCs/>
                <w:kern w:val="0"/>
                <w:szCs w:val="21"/>
              </w:rPr>
              <w:t>2.3采购人有权检验或测试货物，以确认货物是否符合合同规格的要求，并且不承担额外的费用。如果发现所交货物与投标文件中所承诺的不符或存在质量、技术缺陷等，采购人可以拒绝接收该货物，投标人应在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bCs/>
                <w:kern w:val="0"/>
                <w:szCs w:val="21"/>
                <w:u w:val="single"/>
              </w:rPr>
              <w:t xml:space="preserve">  </w:t>
            </w:r>
            <w:r>
              <w:rPr>
                <w:rFonts w:ascii="宋体" w:hAnsi="宋体"/>
                <w:bCs/>
                <w:kern w:val="0"/>
                <w:szCs w:val="21"/>
                <w:u w:val="single"/>
              </w:rPr>
              <w:t>30</w:t>
            </w:r>
            <w:r>
              <w:rPr>
                <w:rFonts w:hint="eastAsia" w:ascii="宋体" w:hAnsi="宋体"/>
                <w:bCs/>
                <w:kern w:val="0"/>
                <w:szCs w:val="21"/>
                <w:u w:val="single"/>
              </w:rPr>
              <w:t xml:space="preserve">  </w:t>
            </w:r>
            <w:r>
              <w:rPr>
                <w:rFonts w:hint="eastAsia" w:ascii="宋体" w:hAnsi="宋体"/>
                <w:bCs/>
                <w:kern w:val="0"/>
                <w:szCs w:val="21"/>
              </w:rPr>
              <w:t>天（日历日）内采取补足、更换或退货等措施，以满足规格的要求，由此发生的一切损失和费用由投标人承担。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2" w:type="dxa"/>
            <w:vMerge w:val="continue"/>
            <w:vAlign w:val="center"/>
          </w:tcPr>
          <w:p>
            <w:pPr>
              <w:jc w:val="center"/>
              <w:rPr>
                <w:rFonts w:ascii="宋体" w:hAnsi="宋体"/>
                <w:b/>
                <w:szCs w:val="21"/>
              </w:rPr>
            </w:pPr>
          </w:p>
        </w:tc>
        <w:tc>
          <w:tcPr>
            <w:tcW w:w="1296" w:type="dxa"/>
            <w:vMerge w:val="continue"/>
            <w:vAlign w:val="top"/>
          </w:tcPr>
          <w:p>
            <w:pPr>
              <w:rPr>
                <w:rFonts w:ascii="宋体" w:hAnsi="宋体"/>
                <w:b/>
                <w:szCs w:val="21"/>
              </w:rPr>
            </w:pPr>
          </w:p>
        </w:tc>
        <w:tc>
          <w:tcPr>
            <w:tcW w:w="6893" w:type="dxa"/>
            <w:vAlign w:val="top"/>
          </w:tcPr>
          <w:p>
            <w:pPr>
              <w:tabs>
                <w:tab w:val="left" w:pos="1260"/>
              </w:tabs>
              <w:spacing w:line="320" w:lineRule="atLeast"/>
              <w:rPr>
                <w:rFonts w:hint="eastAsia" w:ascii="宋体" w:hAnsi="宋体"/>
                <w:spacing w:val="-3"/>
                <w:szCs w:val="21"/>
              </w:rPr>
            </w:pPr>
            <w:r>
              <w:rPr>
                <w:rFonts w:hint="eastAsia" w:ascii="宋体" w:hAnsi="宋体"/>
                <w:spacing w:val="-3"/>
                <w:szCs w:val="21"/>
              </w:rPr>
              <w:t>2.4供货时须确保产品外观清洁，标记编号以及盘面显示等字体清晰、明确，能够准确无误地表示产品的型号、规格、制造商等，并保证所提供的产品的可追溯性。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2" w:type="dxa"/>
            <w:vMerge w:val="continue"/>
            <w:vAlign w:val="center"/>
          </w:tcPr>
          <w:p>
            <w:pPr>
              <w:jc w:val="center"/>
              <w:rPr>
                <w:rFonts w:ascii="宋体" w:hAnsi="宋体"/>
                <w:b/>
                <w:szCs w:val="21"/>
              </w:rPr>
            </w:pPr>
          </w:p>
        </w:tc>
        <w:tc>
          <w:tcPr>
            <w:tcW w:w="1296" w:type="dxa"/>
            <w:vMerge w:val="continue"/>
            <w:vAlign w:val="top"/>
          </w:tcPr>
          <w:p>
            <w:pPr>
              <w:rPr>
                <w:rFonts w:ascii="宋体" w:hAnsi="宋体"/>
                <w:b/>
                <w:szCs w:val="21"/>
              </w:rPr>
            </w:pPr>
          </w:p>
        </w:tc>
        <w:tc>
          <w:tcPr>
            <w:tcW w:w="6893" w:type="dxa"/>
            <w:vAlign w:val="top"/>
          </w:tcPr>
          <w:p>
            <w:pPr>
              <w:tabs>
                <w:tab w:val="left" w:pos="1260"/>
              </w:tabs>
              <w:spacing w:line="320" w:lineRule="atLeast"/>
              <w:rPr>
                <w:rFonts w:ascii="宋体" w:hAnsi="宋体"/>
                <w:bCs/>
                <w:szCs w:val="21"/>
              </w:rPr>
            </w:pPr>
            <w:r>
              <w:rPr>
                <w:rFonts w:ascii="宋体" w:hAnsi="宋体"/>
                <w:spacing w:val="-3"/>
                <w:szCs w:val="21"/>
              </w:rPr>
              <w:t>2.</w:t>
            </w:r>
            <w:r>
              <w:rPr>
                <w:rFonts w:hint="eastAsia" w:ascii="宋体" w:hAnsi="宋体"/>
                <w:spacing w:val="-3"/>
                <w:szCs w:val="21"/>
              </w:rPr>
              <w:t>5投标人负责货物的现场安装和调试，提供货物安装、调试和维修所需的专用工具和辅助材料。投标人应在货物运至指定地点后一周内开始安装调试，并在</w:t>
            </w:r>
            <w:r>
              <w:rPr>
                <w:rFonts w:ascii="宋体" w:hAnsi="宋体"/>
                <w:bCs/>
                <w:kern w:val="0"/>
                <w:sz w:val="24"/>
                <w:u w:val="single"/>
              </w:rPr>
              <w:t xml:space="preserve">  </w:t>
            </w:r>
            <w:r>
              <w:rPr>
                <w:rFonts w:ascii="宋体" w:hAnsi="宋体"/>
                <w:bCs/>
                <w:kern w:val="0"/>
                <w:szCs w:val="21"/>
                <w:u w:val="single"/>
              </w:rPr>
              <w:t>15</w:t>
            </w:r>
            <w:r>
              <w:rPr>
                <w:rFonts w:ascii="宋体" w:hAnsi="宋体"/>
                <w:bCs/>
                <w:kern w:val="0"/>
                <w:sz w:val="24"/>
                <w:u w:val="single"/>
              </w:rPr>
              <w:t xml:space="preserve"> </w:t>
            </w:r>
            <w:r>
              <w:rPr>
                <w:rFonts w:ascii="宋体" w:hAnsi="宋体"/>
                <w:bCs/>
                <w:kern w:val="0"/>
                <w:szCs w:val="21"/>
                <w:u w:val="single"/>
              </w:rPr>
              <w:t xml:space="preserve"> </w:t>
            </w:r>
            <w:r>
              <w:rPr>
                <w:rFonts w:hint="eastAsia" w:ascii="宋体" w:hAnsi="宋体"/>
                <w:spacing w:val="-3"/>
                <w:szCs w:val="21"/>
              </w:rPr>
              <w:t>天（日历日）内完成安装调试工作。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82" w:type="dxa"/>
            <w:vMerge w:val="continue"/>
            <w:vAlign w:val="center"/>
          </w:tcPr>
          <w:p>
            <w:pPr>
              <w:jc w:val="center"/>
              <w:rPr>
                <w:rFonts w:ascii="宋体" w:hAnsi="宋体"/>
                <w:b/>
                <w:szCs w:val="21"/>
              </w:rPr>
            </w:pPr>
          </w:p>
        </w:tc>
        <w:tc>
          <w:tcPr>
            <w:tcW w:w="1296" w:type="dxa"/>
            <w:vMerge w:val="continue"/>
            <w:vAlign w:val="top"/>
          </w:tcPr>
          <w:p>
            <w:pPr>
              <w:rPr>
                <w:rFonts w:ascii="宋体" w:hAnsi="宋体"/>
                <w:b/>
                <w:szCs w:val="21"/>
              </w:rPr>
            </w:pPr>
          </w:p>
        </w:tc>
        <w:tc>
          <w:tcPr>
            <w:tcW w:w="6893" w:type="dxa"/>
            <w:vAlign w:val="top"/>
          </w:tcPr>
          <w:p>
            <w:pPr>
              <w:tabs>
                <w:tab w:val="left" w:pos="1260"/>
              </w:tabs>
              <w:spacing w:line="320" w:lineRule="atLeast"/>
              <w:rPr>
                <w:rFonts w:ascii="宋体" w:hAnsi="宋体"/>
                <w:bCs/>
                <w:szCs w:val="21"/>
              </w:rPr>
            </w:pPr>
            <w:r>
              <w:rPr>
                <w:rFonts w:ascii="宋体" w:hAnsi="宋体"/>
                <w:spacing w:val="-3"/>
                <w:szCs w:val="21"/>
              </w:rPr>
              <w:t>2.</w:t>
            </w:r>
            <w:r>
              <w:rPr>
                <w:rFonts w:hint="eastAsia" w:ascii="宋体" w:hAnsi="宋体"/>
                <w:spacing w:val="-3"/>
                <w:szCs w:val="21"/>
              </w:rPr>
              <w:t>6由投标人代表、厂家代表和采购人组成验收小组对产品进行验收。验收标准按照产品技术参数要求和合同约定执行。经检验设备正常运作后签署性能验收报告，产品保修期自性能验收合格之日起算。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82" w:type="dxa"/>
            <w:vAlign w:val="center"/>
          </w:tcPr>
          <w:p>
            <w:pPr>
              <w:jc w:val="center"/>
              <w:rPr>
                <w:rFonts w:ascii="宋体" w:hAnsi="宋体"/>
                <w:b/>
                <w:szCs w:val="21"/>
              </w:rPr>
            </w:pPr>
            <w:r>
              <w:rPr>
                <w:rFonts w:ascii="宋体" w:hAnsi="宋体"/>
                <w:b/>
                <w:szCs w:val="21"/>
              </w:rPr>
              <w:t>3</w:t>
            </w:r>
          </w:p>
        </w:tc>
        <w:tc>
          <w:tcPr>
            <w:tcW w:w="1296" w:type="dxa"/>
            <w:vAlign w:val="center"/>
          </w:tcPr>
          <w:p>
            <w:pPr>
              <w:jc w:val="center"/>
              <w:rPr>
                <w:rFonts w:ascii="宋体" w:hAnsi="宋体"/>
                <w:b/>
                <w:szCs w:val="21"/>
              </w:rPr>
            </w:pPr>
            <w:r>
              <w:rPr>
                <w:rFonts w:hint="eastAsia" w:ascii="宋体" w:hAnsi="宋体"/>
                <w:b/>
                <w:kern w:val="0"/>
                <w:szCs w:val="21"/>
              </w:rPr>
              <w:t>培训</w:t>
            </w:r>
          </w:p>
        </w:tc>
        <w:tc>
          <w:tcPr>
            <w:tcW w:w="6893" w:type="dxa"/>
            <w:vAlign w:val="top"/>
          </w:tcPr>
          <w:p>
            <w:pPr>
              <w:spacing w:line="320" w:lineRule="atLeast"/>
              <w:rPr>
                <w:rFonts w:hint="eastAsia" w:ascii="宋体" w:hAnsi="宋体"/>
                <w:b/>
                <w:szCs w:val="21"/>
              </w:rPr>
            </w:pPr>
            <w:r>
              <w:rPr>
                <w:rFonts w:hint="eastAsia" w:ascii="宋体" w:hAnsi="宋体"/>
                <w:bCs/>
                <w:kern w:val="0"/>
                <w:szCs w:val="21"/>
              </w:rPr>
              <w:t>3.1中标人应派专业技术人员免费对采购单位制定人员进行定期培训及指导，直至其完全掌握设备的基本故障处理技术。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82" w:type="dxa"/>
            <w:vMerge w:val="restart"/>
            <w:vAlign w:val="center"/>
          </w:tcPr>
          <w:p>
            <w:pPr>
              <w:jc w:val="center"/>
              <w:rPr>
                <w:rFonts w:hint="eastAsia" w:ascii="宋体" w:hAnsi="宋体"/>
                <w:b/>
                <w:szCs w:val="21"/>
              </w:rPr>
            </w:pPr>
            <w:r>
              <w:rPr>
                <w:rFonts w:hint="eastAsia" w:ascii="宋体" w:hAnsi="宋体"/>
                <w:b/>
                <w:szCs w:val="21"/>
              </w:rPr>
              <w:t>4</w:t>
            </w:r>
          </w:p>
        </w:tc>
        <w:tc>
          <w:tcPr>
            <w:tcW w:w="1296" w:type="dxa"/>
            <w:vMerge w:val="restart"/>
            <w:vAlign w:val="center"/>
          </w:tcPr>
          <w:p>
            <w:pPr>
              <w:jc w:val="center"/>
              <w:rPr>
                <w:rFonts w:hint="eastAsia" w:ascii="宋体" w:hAnsi="宋体"/>
                <w:b/>
                <w:kern w:val="0"/>
                <w:szCs w:val="21"/>
              </w:rPr>
            </w:pPr>
            <w:r>
              <w:rPr>
                <w:rFonts w:hint="eastAsia" w:ascii="宋体" w:hAnsi="宋体"/>
                <w:b/>
                <w:kern w:val="0"/>
                <w:szCs w:val="21"/>
              </w:rPr>
              <w:t>知识产权</w:t>
            </w:r>
          </w:p>
        </w:tc>
        <w:tc>
          <w:tcPr>
            <w:tcW w:w="6893" w:type="dxa"/>
            <w:vAlign w:val="top"/>
          </w:tcPr>
          <w:p>
            <w:pPr>
              <w:spacing w:line="320" w:lineRule="atLeast"/>
              <w:rPr>
                <w:rFonts w:hint="eastAsia" w:ascii="宋体" w:hAnsi="宋体"/>
                <w:bCs/>
                <w:kern w:val="0"/>
                <w:szCs w:val="21"/>
              </w:rPr>
            </w:pPr>
            <w:r>
              <w:rPr>
                <w:rFonts w:hint="eastAsia" w:ascii="宋体" w:hAnsi="宋体"/>
                <w:bCs/>
                <w:kern w:val="0"/>
                <w:szCs w:val="21"/>
              </w:rPr>
              <w:t>4.1投标人应保证采购人在使用该货物或其任何一部分时，免受第三方提出的侵犯其专利权、商标权、著作权或其他知识产权的起诉。投标人保证所提供软件的合法性，所发生的任何知识产权纠纷与采购人无关。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82" w:type="dxa"/>
            <w:vMerge w:val="continue"/>
            <w:vAlign w:val="center"/>
          </w:tcPr>
          <w:p>
            <w:pPr>
              <w:jc w:val="center"/>
              <w:rPr>
                <w:rFonts w:hint="eastAsia" w:ascii="宋体" w:hAnsi="宋体"/>
                <w:b/>
                <w:szCs w:val="21"/>
              </w:rPr>
            </w:pPr>
          </w:p>
        </w:tc>
        <w:tc>
          <w:tcPr>
            <w:tcW w:w="1296" w:type="dxa"/>
            <w:vMerge w:val="continue"/>
            <w:vAlign w:val="center"/>
          </w:tcPr>
          <w:p>
            <w:pPr>
              <w:jc w:val="center"/>
              <w:rPr>
                <w:rFonts w:hint="eastAsia" w:ascii="宋体" w:hAnsi="宋体"/>
                <w:b/>
                <w:kern w:val="0"/>
                <w:szCs w:val="21"/>
              </w:rPr>
            </w:pPr>
          </w:p>
        </w:tc>
        <w:tc>
          <w:tcPr>
            <w:tcW w:w="6893" w:type="dxa"/>
            <w:vAlign w:val="top"/>
          </w:tcPr>
          <w:p>
            <w:pPr>
              <w:spacing w:line="320" w:lineRule="atLeast"/>
              <w:rPr>
                <w:rFonts w:hint="eastAsia" w:ascii="宋体" w:hAnsi="宋体"/>
                <w:bCs/>
                <w:kern w:val="0"/>
                <w:szCs w:val="21"/>
              </w:rPr>
            </w:pPr>
            <w:r>
              <w:rPr>
                <w:rFonts w:hint="eastAsia" w:ascii="宋体" w:hAnsi="宋体"/>
                <w:bCs/>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82" w:type="dxa"/>
            <w:vAlign w:val="center"/>
          </w:tcPr>
          <w:p>
            <w:pPr>
              <w:jc w:val="center"/>
              <w:rPr>
                <w:rFonts w:hint="eastAsia" w:ascii="宋体" w:hAnsi="宋体"/>
                <w:b/>
                <w:szCs w:val="21"/>
              </w:rPr>
            </w:pPr>
            <w:r>
              <w:rPr>
                <w:rFonts w:hint="eastAsia" w:ascii="宋体" w:hAnsi="宋体"/>
                <w:b/>
                <w:szCs w:val="21"/>
              </w:rPr>
              <w:t>5</w:t>
            </w:r>
          </w:p>
        </w:tc>
        <w:tc>
          <w:tcPr>
            <w:tcW w:w="1296" w:type="dxa"/>
            <w:vAlign w:val="center"/>
          </w:tcPr>
          <w:p>
            <w:pPr>
              <w:jc w:val="center"/>
              <w:rPr>
                <w:rFonts w:ascii="宋体" w:hAnsi="宋体"/>
                <w:b/>
                <w:kern w:val="0"/>
                <w:szCs w:val="21"/>
              </w:rPr>
            </w:pPr>
            <w:r>
              <w:rPr>
                <w:rFonts w:hint="eastAsia" w:ascii="宋体" w:hAnsi="宋体"/>
                <w:b/>
                <w:kern w:val="0"/>
                <w:szCs w:val="21"/>
              </w:rPr>
              <w:t>其他</w:t>
            </w:r>
          </w:p>
        </w:tc>
        <w:tc>
          <w:tcPr>
            <w:tcW w:w="6893" w:type="dxa"/>
            <w:vAlign w:val="center"/>
          </w:tcPr>
          <w:p>
            <w:pPr>
              <w:rPr>
                <w:rFonts w:hint="eastAsia" w:ascii="宋体" w:hAnsi="宋体"/>
                <w:bCs/>
                <w:kern w:val="0"/>
                <w:szCs w:val="21"/>
              </w:rPr>
            </w:pPr>
            <w:r>
              <w:rPr>
                <w:rFonts w:hint="eastAsia" w:ascii="宋体" w:hAnsi="宋体"/>
                <w:bCs/>
                <w:kern w:val="0"/>
                <w:szCs w:val="21"/>
              </w:rPr>
              <w:t>5.1投标人应按其投标文件中的承诺，进行其他售后服务工作。</w:t>
            </w:r>
          </w:p>
        </w:tc>
      </w:tr>
    </w:tbl>
    <w:p>
      <w:pPr>
        <w:rPr>
          <w:b/>
        </w:rPr>
      </w:pPr>
    </w:p>
    <w:p>
      <w:pPr>
        <w:ind w:firstLine="422" w:firstLineChars="200"/>
        <w:rPr>
          <w:b/>
        </w:rPr>
      </w:pPr>
    </w:p>
    <w:p>
      <w:pPr>
        <w:pStyle w:val="8"/>
        <w:numPr>
          <w:ilvl w:val="0"/>
          <w:numId w:val="19"/>
        </w:numPr>
        <w:spacing w:before="60" w:beforeLines="25" w:after="60" w:afterLines="25"/>
        <w:ind w:firstLine="451" w:firstLineChars="187"/>
        <w:jc w:val="center"/>
        <w:outlineLvl w:val="1"/>
        <w:rPr>
          <w:rFonts w:hint="eastAsia" w:ascii="仿宋" w:hAnsi="仿宋" w:cs="宋体"/>
          <w:b/>
          <w:bCs/>
          <w:sz w:val="24"/>
        </w:rPr>
      </w:pPr>
      <w:r>
        <w:rPr>
          <w:rFonts w:hint="eastAsia" w:ascii="仿宋" w:hAnsi="仿宋" w:cs="宋体"/>
          <w:b/>
          <w:bCs/>
          <w:sz w:val="24"/>
        </w:rPr>
        <w:t>报价要求及付款方式</w:t>
      </w:r>
    </w:p>
    <w:p>
      <w:pPr>
        <w:ind w:firstLine="417" w:firstLineChars="199"/>
        <w:rPr>
          <w:rFonts w:hint="eastAsia" w:ascii="仿宋" w:hAnsi="仿宋" w:cs="宋体"/>
          <w:szCs w:val="21"/>
        </w:rPr>
      </w:pPr>
      <w:r>
        <w:rPr>
          <w:rFonts w:hint="eastAsia" w:ascii="仿宋" w:hAnsi="仿宋" w:cs="宋体"/>
          <w:szCs w:val="21"/>
        </w:rPr>
        <w:t>1.本项目预算金额为</w:t>
      </w:r>
      <w:r>
        <w:rPr>
          <w:rFonts w:hint="eastAsia" w:ascii="宋体" w:hAnsi="宋体" w:cs="宋体"/>
          <w:kern w:val="0"/>
          <w:szCs w:val="21"/>
          <w:u w:val="single"/>
        </w:rPr>
        <w:t xml:space="preserve">   358.8    </w:t>
      </w:r>
      <w:r>
        <w:rPr>
          <w:rFonts w:hint="eastAsia" w:ascii="宋体" w:hAnsi="宋体" w:cs="宋体"/>
          <w:kern w:val="0"/>
          <w:szCs w:val="21"/>
        </w:rPr>
        <w:t>万元(大写：</w:t>
      </w:r>
      <w:r>
        <w:rPr>
          <w:rFonts w:hint="eastAsia" w:ascii="宋体" w:hAnsi="宋体" w:cs="宋体"/>
          <w:kern w:val="0"/>
          <w:szCs w:val="21"/>
          <w:u w:val="single"/>
        </w:rPr>
        <w:t xml:space="preserve">   叁佰伍拾万捌仟    </w:t>
      </w:r>
      <w:r>
        <w:rPr>
          <w:rFonts w:hint="eastAsia" w:ascii="宋体" w:hAnsi="宋体" w:cs="宋体"/>
          <w:kern w:val="0"/>
          <w:szCs w:val="21"/>
        </w:rPr>
        <w:t>元整)。</w:t>
      </w:r>
    </w:p>
    <w:p>
      <w:pPr>
        <w:ind w:firstLine="417" w:firstLineChars="199"/>
        <w:rPr>
          <w:rFonts w:hint="eastAsia" w:ascii="仿宋" w:hAnsi="仿宋" w:cs="宋体"/>
          <w:szCs w:val="21"/>
        </w:rPr>
      </w:pPr>
      <w:r>
        <w:rPr>
          <w:rFonts w:hint="eastAsia" w:ascii="仿宋" w:hAnsi="仿宋" w:cs="宋体"/>
          <w:szCs w:val="21"/>
        </w:rPr>
        <w:t>该金额为一次性投入金额（成本），不包含备品（件）、耗材全生命周期成本。</w:t>
      </w:r>
    </w:p>
    <w:p>
      <w:pPr>
        <w:ind w:firstLine="417" w:firstLineChars="199"/>
        <w:rPr>
          <w:rFonts w:hint="eastAsia" w:ascii="仿宋" w:hAnsi="仿宋" w:cs="宋体"/>
          <w:szCs w:val="21"/>
        </w:rPr>
      </w:pPr>
      <w:r>
        <w:rPr>
          <w:rFonts w:hint="eastAsia" w:ascii="仿宋" w:hAnsi="仿宋" w:cs="宋体"/>
          <w:szCs w:val="21"/>
        </w:rPr>
        <w:t>2.设备的备品（件）、耗材价格一览表</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（1）超声切割止血系统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0"/>
        <w:gridCol w:w="2551"/>
        <w:gridCol w:w="1125"/>
        <w:gridCol w:w="1125"/>
        <w:gridCol w:w="13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55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备品（件）、耗材名称</w:t>
            </w:r>
          </w:p>
        </w:tc>
        <w:tc>
          <w:tcPr>
            <w:tcW w:w="1125" w:type="dxa"/>
            <w:vAlign w:val="center"/>
          </w:tcPr>
          <w:p>
            <w:pPr>
              <w:widowControl/>
              <w:jc w:val="center"/>
              <w:rPr>
                <w:rFonts w:ascii="宋体" w:hAnsi="宋体"/>
                <w:kern w:val="0"/>
                <w:szCs w:val="21"/>
              </w:rPr>
            </w:pPr>
            <w:r>
              <w:rPr>
                <w:rFonts w:hint="eastAsia" w:ascii="宋体" w:hAnsi="宋体" w:cs="宋体"/>
                <w:kern w:val="0"/>
                <w:szCs w:val="21"/>
              </w:rPr>
              <w:t>数量</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360" w:type="dxa"/>
            <w:vAlign w:val="center"/>
          </w:tcPr>
          <w:p>
            <w:pPr>
              <w:widowControl/>
              <w:jc w:val="center"/>
              <w:rPr>
                <w:rFonts w:ascii="宋体" w:hAnsi="宋体"/>
                <w:kern w:val="0"/>
                <w:szCs w:val="21"/>
              </w:rPr>
            </w:pPr>
            <w:r>
              <w:rPr>
                <w:rFonts w:hint="eastAsia" w:ascii="宋体" w:hAnsi="宋体" w:cs="宋体"/>
                <w:kern w:val="0"/>
                <w:szCs w:val="21"/>
              </w:rPr>
              <w:t>单价（元）</w:t>
            </w:r>
          </w:p>
        </w:tc>
        <w:tc>
          <w:tcPr>
            <w:tcW w:w="1393" w:type="dxa"/>
            <w:vAlign w:val="center"/>
          </w:tcPr>
          <w:p>
            <w:pPr>
              <w:widowControl/>
              <w:jc w:val="center"/>
              <w:rPr>
                <w:rFonts w:ascii="宋体" w:hAnsi="宋体"/>
                <w:kern w:val="0"/>
                <w:szCs w:val="21"/>
              </w:rPr>
            </w:pPr>
            <w:r>
              <w:rPr>
                <w:rFonts w:hint="eastAsia" w:ascii="宋体" w:hAnsi="宋体"/>
                <w:kern w:val="0"/>
                <w:szCs w:val="21"/>
              </w:rPr>
              <w:t>小计</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1" w:type="dxa"/>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换能手柄（适配枪式超声刀）</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1000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551" w:type="dxa"/>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换能手柄（适配剪式超声刀）</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条</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9000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551" w:type="dxa"/>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rPr>
              <w:t>枪式超声刀头（可凝闭不超过5mm脉管）</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把</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800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551" w:type="dxa"/>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rPr>
              <w:t>剪式超声刀头（可凝闭不超过5mm脉管）</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把</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800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551" w:type="dxa"/>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rPr>
              <w:t>枪式超声刀头（可凝闭不超过</w:t>
            </w:r>
            <w:r>
              <w:t>7</w:t>
            </w:r>
            <w:r>
              <w:rPr>
                <w:rFonts w:hint="eastAsia"/>
              </w:rPr>
              <w:t>mm脉管）</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把</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800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800</w:t>
            </w:r>
          </w:p>
        </w:tc>
      </w:tr>
    </w:tbl>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（2）电外科能量平台（高频电外科手术系统）</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0"/>
        <w:gridCol w:w="2551"/>
        <w:gridCol w:w="1125"/>
        <w:gridCol w:w="1125"/>
        <w:gridCol w:w="13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55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备品（件）、耗材名称</w:t>
            </w:r>
          </w:p>
        </w:tc>
        <w:tc>
          <w:tcPr>
            <w:tcW w:w="1125" w:type="dxa"/>
            <w:vAlign w:val="center"/>
          </w:tcPr>
          <w:p>
            <w:pPr>
              <w:widowControl/>
              <w:jc w:val="center"/>
              <w:rPr>
                <w:rFonts w:ascii="宋体" w:hAnsi="宋体"/>
                <w:kern w:val="0"/>
                <w:szCs w:val="21"/>
              </w:rPr>
            </w:pPr>
            <w:r>
              <w:rPr>
                <w:rFonts w:hint="eastAsia" w:ascii="宋体" w:hAnsi="宋体" w:cs="宋体"/>
                <w:kern w:val="0"/>
                <w:szCs w:val="21"/>
              </w:rPr>
              <w:t>数量</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360" w:type="dxa"/>
            <w:vAlign w:val="center"/>
          </w:tcPr>
          <w:p>
            <w:pPr>
              <w:widowControl/>
              <w:jc w:val="center"/>
              <w:rPr>
                <w:rFonts w:ascii="宋体" w:hAnsi="宋体"/>
                <w:kern w:val="0"/>
                <w:szCs w:val="21"/>
              </w:rPr>
            </w:pPr>
            <w:r>
              <w:rPr>
                <w:rFonts w:hint="eastAsia" w:ascii="宋体" w:hAnsi="宋体" w:cs="宋体"/>
                <w:kern w:val="0"/>
                <w:szCs w:val="21"/>
              </w:rPr>
              <w:t>单价（元）</w:t>
            </w:r>
          </w:p>
        </w:tc>
        <w:tc>
          <w:tcPr>
            <w:tcW w:w="1393" w:type="dxa"/>
            <w:vAlign w:val="center"/>
          </w:tcPr>
          <w:p>
            <w:pPr>
              <w:widowControl/>
              <w:jc w:val="center"/>
              <w:rPr>
                <w:rFonts w:ascii="宋体" w:hAnsi="宋体"/>
                <w:kern w:val="0"/>
                <w:szCs w:val="21"/>
              </w:rPr>
            </w:pPr>
            <w:r>
              <w:rPr>
                <w:rFonts w:hint="eastAsia" w:ascii="宋体" w:hAnsi="宋体"/>
                <w:kern w:val="0"/>
                <w:szCs w:val="21"/>
              </w:rPr>
              <w:t>小计</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大血管闭合钳芯</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20000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55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大血管闭合钳</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48000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48000</w:t>
            </w:r>
          </w:p>
        </w:tc>
      </w:tr>
    </w:tbl>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（3）新生儿保暖箱</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0"/>
        <w:gridCol w:w="2551"/>
        <w:gridCol w:w="1125"/>
        <w:gridCol w:w="1125"/>
        <w:gridCol w:w="13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55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备品（件）、耗材名称</w:t>
            </w:r>
          </w:p>
        </w:tc>
        <w:tc>
          <w:tcPr>
            <w:tcW w:w="1125" w:type="dxa"/>
            <w:vAlign w:val="center"/>
          </w:tcPr>
          <w:p>
            <w:pPr>
              <w:widowControl/>
              <w:jc w:val="center"/>
              <w:rPr>
                <w:rFonts w:ascii="宋体" w:hAnsi="宋体"/>
                <w:kern w:val="0"/>
                <w:szCs w:val="21"/>
              </w:rPr>
            </w:pPr>
            <w:r>
              <w:rPr>
                <w:rFonts w:hint="eastAsia" w:ascii="宋体" w:hAnsi="宋体" w:cs="宋体"/>
                <w:kern w:val="0"/>
                <w:szCs w:val="21"/>
              </w:rPr>
              <w:t>数量</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360" w:type="dxa"/>
            <w:vAlign w:val="center"/>
          </w:tcPr>
          <w:p>
            <w:pPr>
              <w:widowControl/>
              <w:jc w:val="center"/>
              <w:rPr>
                <w:rFonts w:ascii="宋体" w:hAnsi="宋体"/>
                <w:kern w:val="0"/>
                <w:szCs w:val="21"/>
              </w:rPr>
            </w:pPr>
            <w:r>
              <w:rPr>
                <w:rFonts w:hint="eastAsia" w:ascii="宋体" w:hAnsi="宋体" w:cs="宋体"/>
                <w:kern w:val="0"/>
                <w:szCs w:val="21"/>
              </w:rPr>
              <w:t>单价（元）</w:t>
            </w:r>
          </w:p>
        </w:tc>
        <w:tc>
          <w:tcPr>
            <w:tcW w:w="1393" w:type="dxa"/>
            <w:vAlign w:val="center"/>
          </w:tcPr>
          <w:p>
            <w:pPr>
              <w:widowControl/>
              <w:jc w:val="center"/>
              <w:rPr>
                <w:rFonts w:ascii="宋体" w:hAnsi="宋体"/>
                <w:kern w:val="0"/>
                <w:szCs w:val="21"/>
              </w:rPr>
            </w:pPr>
            <w:r>
              <w:rPr>
                <w:rFonts w:hint="eastAsia" w:ascii="宋体" w:hAnsi="宋体"/>
                <w:kern w:val="0"/>
                <w:szCs w:val="21"/>
              </w:rPr>
              <w:t>小计</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LED灯珠</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3000</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3000</w:t>
            </w:r>
          </w:p>
        </w:tc>
      </w:tr>
    </w:tbl>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（4）盆底神经肌肉刺激治疗仪</w:t>
      </w:r>
    </w:p>
    <w:tbl>
      <w:tblPr>
        <w:tblStyle w:val="4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0"/>
        <w:gridCol w:w="2551"/>
        <w:gridCol w:w="1125"/>
        <w:gridCol w:w="1125"/>
        <w:gridCol w:w="13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551" w:type="dxa"/>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备品（件）、耗材名称</w:t>
            </w:r>
          </w:p>
        </w:tc>
        <w:tc>
          <w:tcPr>
            <w:tcW w:w="1125" w:type="dxa"/>
            <w:vAlign w:val="center"/>
          </w:tcPr>
          <w:p>
            <w:pPr>
              <w:widowControl/>
              <w:jc w:val="center"/>
              <w:rPr>
                <w:rFonts w:ascii="宋体" w:hAnsi="宋体"/>
                <w:kern w:val="0"/>
                <w:szCs w:val="21"/>
              </w:rPr>
            </w:pPr>
            <w:r>
              <w:rPr>
                <w:rFonts w:hint="eastAsia" w:ascii="宋体" w:hAnsi="宋体" w:cs="宋体"/>
                <w:kern w:val="0"/>
                <w:szCs w:val="21"/>
              </w:rPr>
              <w:t>数量</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360" w:type="dxa"/>
            <w:vAlign w:val="center"/>
          </w:tcPr>
          <w:p>
            <w:pPr>
              <w:widowControl/>
              <w:jc w:val="center"/>
              <w:rPr>
                <w:rFonts w:ascii="宋体" w:hAnsi="宋体"/>
                <w:kern w:val="0"/>
                <w:szCs w:val="21"/>
              </w:rPr>
            </w:pPr>
            <w:r>
              <w:rPr>
                <w:rFonts w:hint="eastAsia" w:ascii="宋体" w:hAnsi="宋体" w:cs="宋体"/>
                <w:kern w:val="0"/>
                <w:szCs w:val="21"/>
              </w:rPr>
              <w:t>单价（元）</w:t>
            </w:r>
          </w:p>
        </w:tc>
        <w:tc>
          <w:tcPr>
            <w:tcW w:w="1393" w:type="dxa"/>
            <w:vAlign w:val="center"/>
          </w:tcPr>
          <w:p>
            <w:pPr>
              <w:widowControl/>
              <w:jc w:val="center"/>
              <w:rPr>
                <w:rFonts w:ascii="宋体" w:hAnsi="宋体"/>
                <w:kern w:val="0"/>
                <w:szCs w:val="21"/>
              </w:rPr>
            </w:pPr>
            <w:r>
              <w:rPr>
                <w:rFonts w:hint="eastAsia" w:ascii="宋体" w:hAnsi="宋体"/>
                <w:kern w:val="0"/>
                <w:szCs w:val="21"/>
              </w:rPr>
              <w:t>小计</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1" w:type="dxa"/>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盆底肌肉治疗头</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盒</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265</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0"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551" w:type="dxa"/>
            <w:vAlign w:val="center"/>
          </w:tcPr>
          <w:p>
            <w:pPr>
              <w:widowControl/>
              <w:jc w:val="center"/>
              <w:rPr>
                <w:rFonts w:hint="eastAsia" w:ascii="宋体" w:hAnsi="宋体" w:cs="宋体"/>
                <w:kern w:val="0"/>
                <w:szCs w:val="21"/>
              </w:rPr>
            </w:pPr>
            <w:r>
              <w:rPr>
                <w:rFonts w:hint="eastAsia" w:ascii="宋体" w:hAnsi="宋体" w:cs="宋体"/>
                <w:kern w:val="0"/>
                <w:szCs w:val="21"/>
              </w:rPr>
              <w:t>理疗电极片</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包</w:t>
            </w:r>
          </w:p>
        </w:tc>
        <w:tc>
          <w:tcPr>
            <w:tcW w:w="1360" w:type="dxa"/>
            <w:vAlign w:val="center"/>
          </w:tcPr>
          <w:p>
            <w:pPr>
              <w:widowControl/>
              <w:jc w:val="center"/>
              <w:rPr>
                <w:rFonts w:hint="eastAsia" w:ascii="宋体" w:hAnsi="宋体" w:cs="宋体"/>
                <w:kern w:val="0"/>
                <w:szCs w:val="21"/>
              </w:rPr>
            </w:pPr>
            <w:r>
              <w:rPr>
                <w:rFonts w:hint="eastAsia" w:ascii="宋体" w:hAnsi="宋体" w:cs="宋体"/>
                <w:kern w:val="0"/>
                <w:szCs w:val="21"/>
              </w:rPr>
              <w:t>10.5</w:t>
            </w:r>
          </w:p>
        </w:tc>
        <w:tc>
          <w:tcPr>
            <w:tcW w:w="1393" w:type="dxa"/>
            <w:vAlign w:val="center"/>
          </w:tcPr>
          <w:p>
            <w:pPr>
              <w:widowControl/>
              <w:jc w:val="center"/>
              <w:rPr>
                <w:rFonts w:hint="eastAsia" w:ascii="宋体" w:hAnsi="宋体" w:cs="宋体"/>
                <w:kern w:val="0"/>
                <w:szCs w:val="21"/>
              </w:rPr>
            </w:pPr>
            <w:r>
              <w:rPr>
                <w:rFonts w:hint="eastAsia" w:ascii="宋体" w:hAnsi="宋体" w:cs="宋体"/>
                <w:kern w:val="0"/>
                <w:szCs w:val="21"/>
              </w:rPr>
              <w:t>10.5</w:t>
            </w:r>
          </w:p>
        </w:tc>
      </w:tr>
    </w:tbl>
    <w:p>
      <w:pPr>
        <w:spacing w:before="109" w:beforeLines="35"/>
        <w:ind w:firstLine="417" w:firstLineChars="199"/>
        <w:rPr>
          <w:rFonts w:ascii="仿宋" w:hAnsi="仿宋" w:cs="宋体"/>
          <w:szCs w:val="21"/>
        </w:rPr>
      </w:pPr>
      <w:r>
        <w:rPr>
          <w:rFonts w:hint="eastAsia" w:ascii="仿宋" w:hAnsi="仿宋" w:cs="宋体"/>
          <w:szCs w:val="21"/>
        </w:rPr>
        <w:t>备注：本表格仅为指导性范本，由供应商根据所选用的投标产品的具体情况对此表进行调整，提供更详尽的备品（件）、耗材优惠价格，另外供应商提供的单价将作为供应商合同履行的依据，即在合同履行期间，供应商所提供的备品（件）、耗材单价不高于上述表格的报价。若供应商所提供的备品（件）、耗材单价高于上述表格的报价，采购人有权自主选择是否采购。</w:t>
      </w:r>
    </w:p>
    <w:p>
      <w:pPr>
        <w:ind w:firstLine="417" w:firstLineChars="199"/>
        <w:rPr>
          <w:rFonts w:hint="eastAsia" w:ascii="仿宋" w:hAnsi="仿宋" w:cs="宋体"/>
          <w:szCs w:val="21"/>
        </w:rPr>
      </w:pPr>
      <w:r>
        <w:rPr>
          <w:rFonts w:hint="eastAsia" w:ascii="仿宋" w:hAnsi="仿宋" w:cs="宋体"/>
          <w:szCs w:val="21"/>
        </w:rPr>
        <w:t>3.报价要求</w:t>
      </w:r>
    </w:p>
    <w:p>
      <w:pPr>
        <w:ind w:left="1" w:firstLine="417" w:firstLineChars="199"/>
        <w:rPr>
          <w:rFonts w:hint="eastAsia" w:ascii="仿宋" w:hAnsi="仿宋" w:cs="宋体"/>
          <w:szCs w:val="21"/>
        </w:rPr>
      </w:pPr>
      <w:r>
        <w:rPr>
          <w:rFonts w:hint="eastAsia" w:ascii="仿宋" w:hAnsi="仿宋" w:cs="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作出报价合理性说明，以及书面说明是否采纳等判断不一致的，按照“少数服从多数”的原则确定评审委员会的意见。供应商可通过现场提交、电邮提交提供报价合理性说明。</w:t>
      </w:r>
    </w:p>
    <w:p>
      <w:pPr>
        <w:ind w:firstLine="417" w:firstLineChars="199"/>
        <w:rPr>
          <w:rFonts w:hint="eastAsia" w:ascii="仿宋" w:hAnsi="仿宋" w:cs="宋体"/>
          <w:szCs w:val="21"/>
        </w:rPr>
      </w:pPr>
      <w:r>
        <w:rPr>
          <w:rFonts w:hint="eastAsia" w:ascii="仿宋" w:hAnsi="仿宋" w:cs="宋体"/>
          <w:szCs w:val="21"/>
        </w:rPr>
        <w:t>4.付款方式</w:t>
      </w:r>
    </w:p>
    <w:p>
      <w:pPr>
        <w:ind w:firstLine="417" w:firstLineChars="199"/>
        <w:rPr>
          <w:rFonts w:hint="eastAsia" w:ascii="仿宋" w:hAnsi="仿宋" w:cs="宋体"/>
          <w:szCs w:val="21"/>
        </w:rPr>
      </w:pPr>
      <w:r>
        <w:rPr>
          <w:rFonts w:hint="eastAsia" w:ascii="仿宋" w:hAnsi="仿宋" w:cs="宋体"/>
          <w:szCs w:val="21"/>
        </w:rPr>
        <w:t>（1）本项目分两期付款。</w:t>
      </w:r>
    </w:p>
    <w:p>
      <w:pPr>
        <w:ind w:firstLine="417" w:firstLineChars="199"/>
        <w:rPr>
          <w:rFonts w:hint="eastAsia" w:ascii="仿宋" w:hAnsi="仿宋" w:cs="宋体"/>
          <w:szCs w:val="21"/>
        </w:rPr>
      </w:pPr>
      <w:r>
        <w:rPr>
          <w:rFonts w:hint="eastAsia" w:ascii="仿宋" w:hAnsi="仿宋" w:cs="宋体"/>
          <w:szCs w:val="21"/>
        </w:rPr>
        <w:t>首款：完成设备供货，安装验收合格并提供全额发票后支付给中标方合同金额95%款项。</w:t>
      </w:r>
    </w:p>
    <w:p>
      <w:pPr>
        <w:ind w:firstLine="417" w:firstLineChars="199"/>
        <w:rPr>
          <w:rFonts w:hint="eastAsia" w:ascii="仿宋" w:hAnsi="仿宋" w:cs="宋体"/>
          <w:szCs w:val="21"/>
        </w:rPr>
      </w:pPr>
      <w:r>
        <w:rPr>
          <w:rFonts w:hint="eastAsia" w:ascii="仿宋" w:hAnsi="仿宋" w:cs="宋体"/>
          <w:szCs w:val="21"/>
        </w:rPr>
        <w:t>尾款：合同金额5%作为</w:t>
      </w:r>
      <w:r>
        <w:rPr>
          <w:rFonts w:hint="eastAsia" w:ascii="仿宋" w:hAnsi="仿宋" w:cs="宋体"/>
          <w:bCs/>
          <w:kern w:val="0"/>
          <w:szCs w:val="21"/>
        </w:rPr>
        <w:t>尾款</w:t>
      </w:r>
      <w:r>
        <w:rPr>
          <w:rFonts w:hint="eastAsia" w:ascii="仿宋" w:hAnsi="仿宋" w:cs="宋体"/>
          <w:szCs w:val="21"/>
        </w:rPr>
        <w:t>，所有设备投入使用，保修期届满且经甲方确认无质量问题，中标人发起支付申请，采购人检查所有设备正常运行后支付剩余款项。</w:t>
      </w:r>
    </w:p>
    <w:p>
      <w:pPr>
        <w:ind w:firstLine="417" w:firstLineChars="199"/>
        <w:rPr>
          <w:rFonts w:hint="eastAsia" w:ascii="仿宋" w:hAnsi="仿宋" w:cs="宋体"/>
          <w:b/>
          <w:bCs/>
          <w:sz w:val="24"/>
          <w:lang w:val="en-US" w:eastAsia="zh-CN"/>
        </w:rPr>
      </w:pPr>
      <w:r>
        <w:rPr>
          <w:rFonts w:hint="eastAsia" w:ascii="仿宋" w:hAnsi="仿宋" w:cs="宋体"/>
          <w:szCs w:val="21"/>
        </w:rPr>
        <w:t>（2）具体付款方式按深圳市坪山区财政局有关规定执行。</w:t>
      </w:r>
    </w:p>
    <w:p>
      <w:pPr>
        <w:pStyle w:val="5"/>
        <w:spacing w:before="120" w:beforeLines="50" w:after="120" w:afterLines="50"/>
        <w:rPr>
          <w:sz w:val="28"/>
          <w:szCs w:val="28"/>
        </w:rPr>
      </w:pPr>
      <w:r>
        <w:rPr>
          <w:rFonts w:hint="eastAsia"/>
          <w:sz w:val="28"/>
          <w:szCs w:val="28"/>
          <w:lang w:val="en-US" w:eastAsia="zh-CN"/>
        </w:rPr>
        <w:t>八</w:t>
      </w:r>
      <w:r>
        <w:rPr>
          <w:rFonts w:hint="eastAsia"/>
          <w:sz w:val="28"/>
          <w:szCs w:val="28"/>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8"/>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pPr>
        <w:ind w:firstLine="420" w:firstLineChars="200"/>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p>
    <w:p>
      <w:pPr>
        <w:ind w:firstLine="420" w:firstLineChars="200"/>
        <w:rPr>
          <w:rFonts w:ascii="宋体" w:hAnsi="宋体"/>
        </w:rPr>
      </w:pPr>
    </w:p>
    <w:p>
      <w:pPr>
        <w:pStyle w:val="5"/>
        <w:rPr>
          <w:kern w:val="2"/>
        </w:rPr>
      </w:pPr>
      <w:r>
        <w:rPr>
          <w:rFonts w:hint="eastAsia"/>
          <w:kern w:val="2"/>
        </w:rPr>
        <w:t>第四章</w:t>
      </w:r>
      <w:r>
        <w:rPr>
          <w:kern w:val="2"/>
        </w:rPr>
        <w:t xml:space="preserve"> </w:t>
      </w:r>
      <w:r>
        <w:rPr>
          <w:rFonts w:hint="eastAsia"/>
          <w:kern w:val="2"/>
        </w:rPr>
        <w:t xml:space="preserve"> 投标文件组成要求及格式</w:t>
      </w:r>
    </w:p>
    <w:p>
      <w:pPr>
        <w:rPr>
          <w:rStyle w:val="59"/>
          <w:sz w:val="24"/>
        </w:rPr>
      </w:pPr>
      <w:r>
        <w:rPr>
          <w:rStyle w:val="59"/>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宋体" w:hAnsi="宋体" w:cs="宋体"/>
          <w:kern w:val="0"/>
          <w:sz w:val="24"/>
        </w:rPr>
        <w:drawing>
          <wp:inline distT="0" distB="0" distL="0" distR="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7"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pPr>
        <w:rPr>
          <w:rFonts w:ascii="仿宋_GB2312" w:eastAsia="仿宋_GB2312"/>
          <w:sz w:val="24"/>
        </w:rPr>
      </w:pPr>
    </w:p>
    <w:p>
      <w:pPr>
        <w:jc w:val="center"/>
        <w:rPr>
          <w:rFonts w:ascii="仿宋_GB2312" w:eastAsia="仿宋_GB2312"/>
          <w:sz w:val="24"/>
        </w:rPr>
      </w:pPr>
    </w:p>
    <w:p>
      <w:pPr>
        <w:ind w:firstLine="480" w:firstLineChars="200"/>
        <w:rPr>
          <w:rFonts w:ascii="仿宋_GB2312" w:eastAsia="仿宋_GB2312"/>
          <w:sz w:val="24"/>
        </w:rPr>
      </w:pPr>
      <w:bookmarkStart w:id="43" w:name="_Hlk72257167"/>
      <w:r>
        <w:rPr>
          <w:rFonts w:hint="eastAsia" w:ascii="仿宋_GB2312" w:eastAsia="仿宋_GB2312"/>
          <w:sz w:val="24"/>
        </w:rPr>
        <w:t>政府集中采购机构公布投标文件正文（信息公开部分）时为计算机截取信息自动公布，</w:t>
      </w:r>
      <w:r>
        <w:rPr>
          <w:rFonts w:hint="eastAsia" w:ascii="仿宋_GB2312" w:eastAsia="仿宋_GB2312"/>
          <w:b/>
          <w:bCs/>
          <w:sz w:val="24"/>
        </w:rPr>
        <w:t>如投标人误将涉及个人隐私的信息放入投标文件正文，相关后果由投标人自负；</w:t>
      </w:r>
      <w:r>
        <w:rPr>
          <w:rFonts w:hint="eastAsia" w:ascii="仿宋_GB2312" w:eastAsia="仿宋_GB2312"/>
          <w:sz w:val="24"/>
          <w:highlight w:val="yellow"/>
        </w:rPr>
        <w:t>如投标人将必须放于投标文件正文（信息公开部分）的内容放入投标文件附件（非信息公开部分），将作投标无效处理。</w:t>
      </w:r>
    </w:p>
    <w:bookmarkEnd w:id="43"/>
    <w:p>
      <w:pPr>
        <w:ind w:firstLine="420" w:firstLineChars="200"/>
        <w:rPr>
          <w:rFonts w:ascii="宋体" w:hAnsi="宋体"/>
          <w:szCs w:val="21"/>
        </w:rPr>
      </w:pPr>
    </w:p>
    <w:p>
      <w:pPr>
        <w:ind w:firstLine="480" w:firstLineChars="200"/>
        <w:rPr>
          <w:rFonts w:ascii="仿宋_GB2312" w:eastAsia="仿宋_GB2312"/>
          <w:sz w:val="24"/>
        </w:rPr>
      </w:pPr>
    </w:p>
    <w:p>
      <w:pPr>
        <w:rPr>
          <w:rFonts w:ascii="仿宋_GB2312" w:eastAsia="仿宋_GB2312"/>
          <w:sz w:val="24"/>
        </w:rPr>
      </w:pPr>
    </w:p>
    <w:p>
      <w:pPr>
        <w:outlineLvl w:val="9"/>
        <w:rPr>
          <w:rStyle w:val="59"/>
          <w:sz w:val="28"/>
          <w:szCs w:val="28"/>
        </w:rPr>
      </w:pPr>
      <w:r>
        <w:rPr>
          <w:rStyle w:val="59"/>
          <w:rFonts w:hint="eastAsia"/>
          <w:sz w:val="28"/>
          <w:szCs w:val="28"/>
        </w:rPr>
        <w:t>投标文件组成：</w:t>
      </w:r>
    </w:p>
    <w:p>
      <w:pPr>
        <w:ind w:firstLine="1200" w:firstLineChars="500"/>
        <w:outlineLvl w:val="9"/>
        <w:rPr>
          <w:rFonts w:ascii="宋体" w:hAnsi="宋体"/>
          <w:sz w:val="24"/>
        </w:rPr>
      </w:pPr>
      <w:bookmarkStart w:id="44" w:name="_Hlk72257253"/>
      <w:r>
        <w:rPr>
          <w:rFonts w:hint="eastAsia" w:ascii="宋体" w:hAnsi="宋体"/>
          <w:sz w:val="24"/>
        </w:rPr>
        <w:t>1.投标文件正文</w:t>
      </w:r>
      <w:r>
        <w:rPr>
          <w:rFonts w:hint="eastAsia" w:ascii="宋体" w:hAnsi="宋体"/>
          <w:b/>
          <w:color w:val="FF0000"/>
          <w:sz w:val="24"/>
        </w:rPr>
        <w:t>（信息公开部分）</w:t>
      </w:r>
      <w:r>
        <w:rPr>
          <w:rFonts w:hint="eastAsia" w:ascii="宋体" w:hAnsi="宋体"/>
          <w:sz w:val="24"/>
        </w:rPr>
        <w:t>，主要包括以下内容：</w:t>
      </w:r>
    </w:p>
    <w:p>
      <w:pPr>
        <w:ind w:left="718" w:leftChars="342" w:firstLine="1417" w:firstLineChars="675"/>
        <w:rPr>
          <w:szCs w:val="21"/>
        </w:rPr>
      </w:pPr>
      <w:r>
        <w:rPr>
          <w:rFonts w:hint="eastAsia"/>
          <w:szCs w:val="21"/>
        </w:rPr>
        <w:t>（1）</w:t>
      </w:r>
      <w:bookmarkStart w:id="45" w:name="_Hlk72070784"/>
      <w:r>
        <w:rPr>
          <w:rFonts w:hint="eastAsia"/>
          <w:szCs w:val="21"/>
        </w:rPr>
        <w:t>投标函</w:t>
      </w:r>
      <w:bookmarkEnd w:id="45"/>
    </w:p>
    <w:p>
      <w:pPr>
        <w:ind w:left="718" w:leftChars="342" w:firstLine="1417" w:firstLineChars="675"/>
        <w:rPr>
          <w:szCs w:val="21"/>
        </w:rPr>
      </w:pPr>
      <w:r>
        <w:rPr>
          <w:rFonts w:hint="eastAsia"/>
          <w:szCs w:val="21"/>
        </w:rPr>
        <w:t>（2）</w:t>
      </w:r>
      <w:bookmarkStart w:id="46" w:name="_Hlk72062521"/>
      <w:r>
        <w:rPr>
          <w:rFonts w:hint="eastAsia"/>
          <w:szCs w:val="21"/>
        </w:rPr>
        <w:t>政府采购投标及履约承诺函</w:t>
      </w:r>
      <w:bookmarkEnd w:id="46"/>
    </w:p>
    <w:p>
      <w:pPr>
        <w:ind w:left="718" w:leftChars="342" w:firstLine="1417" w:firstLineChars="675"/>
        <w:rPr>
          <w:szCs w:val="21"/>
        </w:rPr>
      </w:pPr>
      <w:r>
        <w:rPr>
          <w:rFonts w:hint="eastAsia"/>
          <w:szCs w:val="21"/>
        </w:rPr>
        <w:t>（</w:t>
      </w:r>
      <w:r>
        <w:rPr>
          <w:szCs w:val="21"/>
        </w:rPr>
        <w:t>3</w:t>
      </w:r>
      <w:r>
        <w:rPr>
          <w:rFonts w:hint="eastAsia"/>
          <w:szCs w:val="21"/>
        </w:rPr>
        <w:t>）投标人情况及资格证明文件</w:t>
      </w:r>
    </w:p>
    <w:p>
      <w:pPr>
        <w:ind w:left="718" w:leftChars="342" w:firstLine="1417" w:firstLineChars="675"/>
        <w:rPr>
          <w:rFonts w:hint="eastAsia"/>
          <w:szCs w:val="21"/>
        </w:rPr>
      </w:pPr>
      <w:bookmarkStart w:id="47" w:name="_Hlk72257201"/>
      <w:r>
        <w:rPr>
          <w:rFonts w:hint="eastAsia"/>
          <w:szCs w:val="21"/>
        </w:rPr>
        <w:t>（</w:t>
      </w:r>
      <w:r>
        <w:rPr>
          <w:szCs w:val="21"/>
        </w:rPr>
        <w:t>4</w:t>
      </w:r>
      <w:r>
        <w:rPr>
          <w:rFonts w:hint="eastAsia"/>
          <w:szCs w:val="21"/>
        </w:rPr>
        <w:t>）项目详细报价</w:t>
      </w:r>
    </w:p>
    <w:p>
      <w:pPr>
        <w:pStyle w:val="2"/>
        <w:ind w:firstLine="2100" w:firstLineChars="1000"/>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（5）货物说明一览表</w:t>
      </w:r>
    </w:p>
    <w:bookmarkEnd w:id="47"/>
    <w:p>
      <w:pPr>
        <w:ind w:firstLine="1200" w:firstLineChars="500"/>
        <w:outlineLvl w:val="9"/>
        <w:rPr>
          <w:rFonts w:ascii="宋体" w:hAnsi="宋体"/>
          <w:sz w:val="24"/>
        </w:rPr>
      </w:pPr>
      <w:r>
        <w:rPr>
          <w:rFonts w:hint="eastAsia" w:ascii="宋体" w:hAnsi="宋体"/>
          <w:sz w:val="24"/>
        </w:rPr>
        <w:t>2.投标文件附件</w:t>
      </w:r>
      <w:r>
        <w:rPr>
          <w:rFonts w:hint="eastAsia" w:ascii="宋体" w:hAnsi="宋体"/>
          <w:b/>
          <w:color w:val="FF0000"/>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（1）法定代表人（负责人）证明书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（3）实质性条款响应情况表</w:t>
      </w:r>
    </w:p>
    <w:p>
      <w:pPr>
        <w:ind w:left="718" w:leftChars="342" w:firstLine="1417" w:firstLineChars="675"/>
        <w:rPr>
          <w:szCs w:val="21"/>
        </w:rPr>
      </w:pPr>
      <w:r>
        <w:rPr>
          <w:rFonts w:hint="eastAsia"/>
          <w:szCs w:val="21"/>
        </w:rPr>
        <w:t>（</w:t>
      </w:r>
      <w:r>
        <w:rPr>
          <w:szCs w:val="21"/>
        </w:rPr>
        <w:t>4</w:t>
      </w:r>
      <w:r>
        <w:rPr>
          <w:rFonts w:hint="eastAsia"/>
          <w:szCs w:val="21"/>
        </w:rPr>
        <w:t>）技术要求偏离表</w:t>
      </w:r>
    </w:p>
    <w:p>
      <w:pPr>
        <w:ind w:left="718" w:leftChars="342" w:firstLine="1417" w:firstLineChars="675"/>
        <w:rPr>
          <w:szCs w:val="21"/>
        </w:rPr>
      </w:pPr>
      <w:r>
        <w:rPr>
          <w:rFonts w:hint="eastAsia"/>
          <w:szCs w:val="21"/>
        </w:rPr>
        <w:t>（</w:t>
      </w:r>
      <w:r>
        <w:rPr>
          <w:szCs w:val="21"/>
        </w:rPr>
        <w:t>5</w:t>
      </w:r>
      <w:r>
        <w:rPr>
          <w:rFonts w:hint="eastAsia"/>
          <w:szCs w:val="21"/>
        </w:rPr>
        <w:t>）商务要求偏离表</w:t>
      </w:r>
    </w:p>
    <w:p>
      <w:pPr>
        <w:ind w:left="718" w:leftChars="342" w:firstLine="1417" w:firstLineChars="675"/>
        <w:rPr>
          <w:szCs w:val="21"/>
        </w:rPr>
      </w:pPr>
      <w:r>
        <w:rPr>
          <w:rFonts w:hint="eastAsia"/>
          <w:szCs w:val="21"/>
        </w:rPr>
        <w:t>（</w:t>
      </w:r>
      <w:r>
        <w:rPr>
          <w:szCs w:val="21"/>
        </w:rPr>
        <w:t>6</w:t>
      </w:r>
      <w:r>
        <w:rPr>
          <w:rFonts w:hint="eastAsia"/>
          <w:szCs w:val="21"/>
        </w:rPr>
        <w:t>）项目实施方案</w:t>
      </w:r>
    </w:p>
    <w:p>
      <w:pPr>
        <w:ind w:left="718" w:leftChars="342" w:firstLine="1417" w:firstLineChars="675"/>
        <w:rPr>
          <w:szCs w:val="21"/>
        </w:rPr>
      </w:pPr>
      <w:r>
        <w:rPr>
          <w:rFonts w:hint="eastAsia"/>
          <w:szCs w:val="21"/>
        </w:rPr>
        <w:t>（</w:t>
      </w:r>
      <w:r>
        <w:rPr>
          <w:rFonts w:hint="eastAsia"/>
          <w:szCs w:val="21"/>
          <w:lang w:val="en-US" w:eastAsia="zh-CN"/>
        </w:rPr>
        <w:t>7</w:t>
      </w:r>
      <w:r>
        <w:rPr>
          <w:rFonts w:hint="eastAsia"/>
          <w:szCs w:val="21"/>
        </w:rPr>
        <w:t>）投标人认为需要加以说明的其他内容</w:t>
      </w:r>
    </w:p>
    <w:bookmarkEnd w:id="44"/>
    <w:p>
      <w:pPr>
        <w:ind w:left="718" w:leftChars="342" w:firstLine="1417" w:firstLineChars="675"/>
        <w:rPr>
          <w:szCs w:val="21"/>
        </w:rPr>
      </w:pPr>
    </w:p>
    <w:p>
      <w:pPr>
        <w:ind w:firstLine="426" w:firstLineChars="202"/>
        <w:rPr>
          <w:rFonts w:ascii="宋体" w:hAnsi="宋体"/>
          <w:b/>
          <w:szCs w:val="21"/>
        </w:rPr>
      </w:pPr>
      <w:bookmarkStart w:id="48" w:name="_Hlk72257771"/>
      <w:r>
        <w:rPr>
          <w:rFonts w:hint="eastAsia" w:ascii="宋体" w:hAnsi="宋体"/>
          <w:b/>
          <w:szCs w:val="21"/>
        </w:rPr>
        <w:t>备注：</w:t>
      </w:r>
    </w:p>
    <w:p>
      <w:pPr>
        <w:ind w:firstLine="426" w:firstLineChars="202"/>
        <w:rPr>
          <w:rFonts w:ascii="宋体" w:hAnsi="宋体"/>
          <w:b/>
          <w:szCs w:val="21"/>
        </w:rPr>
      </w:pPr>
      <w:r>
        <w:rPr>
          <w:rFonts w:hint="eastAsia" w:ascii="宋体" w:hAnsi="宋体"/>
          <w:b/>
          <w:szCs w:val="21"/>
        </w:rPr>
        <w:t>1.本项目为网上电子投标项目，投标文件不需法人或授权委托人另行签字，无需加盖单位公章，招标文件专用条款另有规定的除外。</w:t>
      </w:r>
    </w:p>
    <w:p>
      <w:pPr>
        <w:ind w:firstLine="422" w:firstLineChars="200"/>
        <w:rPr>
          <w:rFonts w:ascii="宋体" w:hAnsi="宋体"/>
          <w:color w:val="FF0000"/>
          <w:sz w:val="24"/>
        </w:rPr>
      </w:pPr>
      <w:bookmarkStart w:id="49" w:name="_Hlk72263559"/>
      <w:r>
        <w:rPr>
          <w:rFonts w:hint="eastAsia" w:ascii="宋体" w:hAnsi="宋体"/>
          <w:b/>
          <w:szCs w:val="21"/>
        </w:rPr>
        <w:t>2.关于填写“开标一览表”的说明：“开标一览表”中除“投标总价”外，其他信息不作评审依据。</w:t>
      </w:r>
      <w:bookmarkEnd w:id="48"/>
      <w:bookmarkEnd w:id="49"/>
    </w:p>
    <w:p>
      <w:pPr>
        <w:rPr>
          <w:rFonts w:ascii="宋体" w:hAnsi="宋体"/>
          <w:color w:val="FF0000"/>
          <w:sz w:val="24"/>
        </w:rPr>
      </w:pPr>
    </w:p>
    <w:p>
      <w:pPr>
        <w:rPr>
          <w:rFonts w:ascii="宋体" w:hAnsi="宋体"/>
          <w:color w:val="FF0000"/>
          <w:sz w:val="24"/>
        </w:rPr>
      </w:pPr>
    </w:p>
    <w:p>
      <w:pPr>
        <w:outlineLvl w:val="1"/>
        <w:rPr>
          <w:rFonts w:ascii="宋体" w:hAnsi="宋体"/>
          <w:b/>
          <w:color w:val="FF0000"/>
          <w:sz w:val="28"/>
          <w:szCs w:val="28"/>
        </w:rPr>
      </w:pPr>
      <w:r>
        <w:rPr>
          <w:rFonts w:hint="eastAsia" w:ascii="宋体" w:hAnsi="宋体"/>
          <w:b/>
          <w:color w:val="FF0000"/>
          <w:sz w:val="28"/>
          <w:szCs w:val="28"/>
        </w:rPr>
        <w:t>投标文件正文（信息公开部分）</w:t>
      </w:r>
    </w:p>
    <w:p>
      <w:pPr>
        <w:pStyle w:val="4"/>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bookmarkStart w:id="50" w:name="_Hlk72257506"/>
      <w:r>
        <w:rPr>
          <w:rFonts w:hint="eastAsia" w:ascii="宋体" w:hAnsi="宋体"/>
          <w:szCs w:val="21"/>
        </w:rPr>
        <w:t>致：</w:t>
      </w:r>
      <w:r>
        <w:rPr>
          <w:rFonts w:hint="eastAsia" w:ascii="宋体" w:hAnsi="宋体"/>
          <w:szCs w:val="21"/>
          <w:u w:val="single"/>
        </w:rPr>
        <w:t xml:space="preserve">  </w:t>
      </w:r>
      <w:r>
        <w:rPr>
          <w:rFonts w:hint="eastAsia" w:ascii="宋体" w:hAnsi="宋体"/>
          <w:color w:val="FF0000"/>
          <w:szCs w:val="21"/>
          <w:u w:val="single"/>
        </w:rPr>
        <w:t>深圳公共资源交易中心</w:t>
      </w:r>
      <w:r>
        <w:rPr>
          <w:rFonts w:hint="eastAsia" w:ascii="宋体" w:hAnsi="宋体"/>
          <w:color w:val="FF0000"/>
          <w:szCs w:val="21"/>
          <w:u w:val="single"/>
          <w:lang w:eastAsia="zh-CN"/>
        </w:rPr>
        <w:t>（深圳交易集团有限公司坪山分公司）</w:t>
      </w:r>
      <w:r>
        <w:rPr>
          <w:rFonts w:hint="eastAsia" w:ascii="宋体" w:hAnsi="宋体"/>
          <w:szCs w:val="21"/>
          <w:u w:val="single"/>
        </w:rPr>
        <w:t xml:space="preserve">  </w:t>
      </w:r>
    </w:p>
    <w:p>
      <w:pPr>
        <w:ind w:firstLine="420" w:firstLineChars="200"/>
        <w:rPr>
          <w:rFonts w:ascii="宋体" w:hAnsi="宋体"/>
          <w:szCs w:val="21"/>
        </w:rPr>
      </w:pPr>
      <w:bookmarkStart w:id="51" w:name="_Hlk73818812"/>
      <w:r>
        <w:rPr>
          <w:rFonts w:hint="eastAsia"/>
          <w:szCs w:val="21"/>
        </w:rPr>
        <w:t>1、根据已收到贵单位的项目编号为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w:t>
      </w:r>
      <w:bookmarkStart w:id="52" w:name="_Hlk72263588"/>
      <w:r>
        <w:rPr>
          <w:rFonts w:hint="eastAsia"/>
          <w:szCs w:val="21"/>
        </w:rPr>
        <w:t>愿意按照招标文件要求承包上述项目并修补其任何缺陷。</w:t>
      </w:r>
      <w:bookmarkEnd w:id="52"/>
    </w:p>
    <w:p>
      <w:pPr>
        <w:ind w:firstLine="420" w:firstLineChars="200"/>
        <w:rPr>
          <w:rFonts w:ascii="宋体" w:hAnsi="宋体"/>
          <w:szCs w:val="21"/>
        </w:rPr>
      </w:pPr>
      <w:r>
        <w:rPr>
          <w:rFonts w:ascii="宋体" w:hAnsi="宋体"/>
          <w:szCs w:val="21"/>
        </w:rPr>
        <w:t>2</w:t>
      </w:r>
      <w:r>
        <w:rPr>
          <w:rFonts w:hint="eastAsia" w:ascii="宋体" w:hAnsi="宋体"/>
          <w:szCs w:val="21"/>
        </w:rPr>
        <w:t>、</w:t>
      </w:r>
      <w:bookmarkStart w:id="53" w:name="_Hlk73819847"/>
      <w:r>
        <w:rPr>
          <w:rFonts w:hint="eastAsia" w:ascii="宋体" w:hAnsi="宋体"/>
          <w:szCs w:val="21"/>
        </w:rPr>
        <w:t>投标价格见</w:t>
      </w:r>
      <w:r>
        <w:rPr>
          <w:rFonts w:hint="eastAsia"/>
          <w:szCs w:val="21"/>
        </w:rPr>
        <w:t>投标书编制软件中《开标一览表》中填写的投标总价。</w:t>
      </w:r>
      <w:bookmarkEnd w:id="53"/>
    </w:p>
    <w:p>
      <w:pPr>
        <w:ind w:firstLine="420" w:firstLineChars="200"/>
        <w:rPr>
          <w:rFonts w:ascii="宋体" w:hAnsi="宋体"/>
          <w:szCs w:val="21"/>
        </w:rPr>
      </w:pPr>
      <w:r>
        <w:rPr>
          <w:rFonts w:hint="eastAsia" w:ascii="宋体" w:hAnsi="宋体"/>
          <w:szCs w:val="21"/>
        </w:rPr>
        <w:t>3、如果我单位中标，我单位将按照招标文件的要求足额提交履约担保。</w:t>
      </w:r>
    </w:p>
    <w:p>
      <w:pPr>
        <w:ind w:firstLine="420" w:firstLineChars="200"/>
        <w:rPr>
          <w:rFonts w:ascii="宋体" w:hAnsi="宋体"/>
          <w:szCs w:val="21"/>
        </w:rPr>
      </w:pPr>
      <w:r>
        <w:rPr>
          <w:rFonts w:hint="eastAsia" w:ascii="宋体" w:hAnsi="宋体"/>
          <w:szCs w:val="21"/>
        </w:rPr>
        <w:t>4、我单位同意所递交的投标文件在“对通用条款的补充内容”中明确的投标有效期内有效，在此期间内我单位的投标有可能中标，我方将受此约束。</w:t>
      </w:r>
    </w:p>
    <w:p>
      <w:pPr>
        <w:ind w:firstLine="420" w:firstLineChars="200"/>
        <w:rPr>
          <w:rFonts w:ascii="宋体" w:hAnsi="宋体"/>
          <w:szCs w:val="21"/>
        </w:rPr>
      </w:pPr>
      <w:r>
        <w:rPr>
          <w:rFonts w:hint="eastAsia" w:ascii="宋体" w:hAnsi="宋体"/>
          <w:szCs w:val="21"/>
        </w:rPr>
        <w:t>5、除非另外达成协议并生效，贵单位的中标通知书和本投标文件将构成合同的重要内容。</w:t>
      </w:r>
    </w:p>
    <w:p>
      <w:pPr>
        <w:ind w:left="420" w:leftChars="200"/>
        <w:rPr>
          <w:rFonts w:hint="eastAsia" w:ascii="宋体" w:hAnsi="宋体"/>
          <w:szCs w:val="21"/>
        </w:rPr>
      </w:pPr>
      <w:r>
        <w:rPr>
          <w:rFonts w:hint="eastAsia" w:ascii="宋体" w:hAnsi="宋体"/>
          <w:szCs w:val="21"/>
        </w:rPr>
        <w:t>6、</w:t>
      </w:r>
      <w:bookmarkEnd w:id="51"/>
      <w:r>
        <w:rPr>
          <w:rFonts w:hint="eastAsia" w:ascii="宋体" w:hAnsi="宋体"/>
          <w:color w:val="000000"/>
          <w:szCs w:val="21"/>
        </w:rPr>
        <w:t>我</w:t>
      </w:r>
      <w:r>
        <w:rPr>
          <w:rFonts w:hint="eastAsia"/>
          <w:szCs w:val="21"/>
        </w:rPr>
        <w:t>方</w:t>
      </w:r>
      <w:r>
        <w:rPr>
          <w:rFonts w:hint="eastAsia" w:ascii="宋体" w:hAnsi="宋体"/>
          <w:color w:val="000000"/>
          <w:szCs w:val="21"/>
        </w:rPr>
        <w:t>完全理解贵方不一定要接受最低报价的投标或收到的任何投标。</w:t>
      </w:r>
    </w:p>
    <w:p>
      <w:pPr>
        <w:ind w:firstLine="420" w:firstLineChars="200"/>
        <w:rPr>
          <w:rFonts w:ascii="宋体" w:hAnsi="宋体"/>
          <w:szCs w:val="21"/>
        </w:rPr>
      </w:pP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法定代表人（负责人）或其委托代理人：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rPr>
          <w:rFonts w:ascii="黑体" w:hAnsi="宋体" w:eastAsia="黑体"/>
        </w:rPr>
      </w:pPr>
    </w:p>
    <w:bookmarkEnd w:id="50"/>
    <w:p>
      <w:pPr>
        <w:pStyle w:val="4"/>
        <w:jc w:val="center"/>
        <w:rPr>
          <w:rFonts w:ascii="黑体" w:eastAsia="黑体"/>
          <w:b w:val="0"/>
          <w:sz w:val="24"/>
        </w:rPr>
      </w:pPr>
      <w:r>
        <w:rPr>
          <w:rFonts w:hint="eastAsia" w:ascii="黑体" w:eastAsia="黑体"/>
          <w:b w:val="0"/>
          <w:sz w:val="24"/>
        </w:rPr>
        <w:t>二、政府采购投标及履约承诺函</w:t>
      </w:r>
    </w:p>
    <w:p>
      <w:pPr>
        <w:rPr>
          <w:rFonts w:ascii="宋体" w:hAnsi="宋体"/>
          <w:color w:val="FF0000"/>
          <w:szCs w:val="21"/>
        </w:rPr>
      </w:pPr>
      <w:bookmarkStart w:id="54" w:name="_Hlk72257530"/>
      <w:r>
        <w:rPr>
          <w:rFonts w:hint="eastAsia" w:ascii="宋体" w:hAnsi="宋体"/>
          <w:color w:val="FF0000"/>
          <w:szCs w:val="21"/>
        </w:rPr>
        <w:t>致：</w:t>
      </w:r>
      <w:r>
        <w:rPr>
          <w:rFonts w:hint="eastAsia" w:ascii="宋体" w:hAnsi="宋体"/>
          <w:color w:val="FF0000"/>
          <w:szCs w:val="21"/>
          <w:u w:val="single"/>
        </w:rPr>
        <w:t>深圳公共资源交易中心</w:t>
      </w:r>
      <w:r>
        <w:rPr>
          <w:rFonts w:hint="eastAsia" w:ascii="宋体" w:hAnsi="宋体"/>
          <w:color w:val="FF0000"/>
          <w:szCs w:val="21"/>
          <w:u w:val="single"/>
          <w:lang w:eastAsia="zh-CN"/>
        </w:rPr>
        <w:t>（深圳交易集团有限公司坪山分公司）</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ascii="宋体" w:hAnsi="宋体"/>
          <w:szCs w:val="21"/>
        </w:rPr>
      </w:pPr>
      <w:r>
        <w:rPr>
          <w:rFonts w:hint="eastAsia" w:ascii="宋体" w:hAnsi="宋体"/>
          <w:szCs w:val="21"/>
        </w:rPr>
        <w:t>1.我单位本招标项目所提供的货物或服务未侵犯知识产权。</w:t>
      </w:r>
    </w:p>
    <w:p>
      <w:pPr>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w:t>
      </w:r>
      <w:bookmarkStart w:id="55" w:name="_Hlk72587269"/>
      <w:bookmarkStart w:id="56"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55"/>
      <w:r>
        <w:rPr>
          <w:rFonts w:hint="eastAsia" w:ascii="宋体" w:hAnsi="宋体"/>
          <w:szCs w:val="21"/>
        </w:rPr>
        <w:t>。</w:t>
      </w:r>
    </w:p>
    <w:bookmarkEnd w:id="56"/>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ascii="宋体" w:hAnsi="宋体"/>
          <w:szCs w:val="21"/>
        </w:rPr>
        <w:t>8</w:t>
      </w:r>
      <w:r>
        <w:rPr>
          <w:rFonts w:hint="eastAsia" w:ascii="宋体" w:hAnsi="宋体"/>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ascii="宋体" w:hAnsi="宋体"/>
          <w:szCs w:val="21"/>
        </w:rPr>
        <w:t>9</w:t>
      </w:r>
      <w:r>
        <w:rPr>
          <w:rFonts w:hint="eastAsia" w:ascii="宋体" w:hAnsi="宋体"/>
          <w:szCs w:val="21"/>
        </w:rPr>
        <w:t>.我单位承诺中标后项目不转包，未经采购人同意不进行分包。</w:t>
      </w:r>
    </w:p>
    <w:p>
      <w:pPr>
        <w:ind w:firstLine="420" w:firstLineChars="200"/>
        <w:rPr>
          <w:rFonts w:ascii="宋体" w:hAnsi="宋体"/>
        </w:rPr>
      </w:pPr>
      <w:r>
        <w:rPr>
          <w:rFonts w:hint="eastAsia" w:ascii="宋体" w:hAnsi="宋体"/>
          <w:szCs w:val="21"/>
        </w:rPr>
        <w:t>1</w:t>
      </w:r>
      <w:r>
        <w:rPr>
          <w:rFonts w:ascii="宋体" w:hAnsi="宋体"/>
          <w:szCs w:val="21"/>
        </w:rPr>
        <w:t>0.</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rPr>
      </w:pPr>
      <w:r>
        <w:rPr>
          <w:rFonts w:ascii="宋体" w:hAnsi="宋体"/>
        </w:rPr>
        <w:t>11.</w:t>
      </w:r>
      <w:r>
        <w:rPr>
          <w:rFonts w:hint="eastAsia" w:ascii="宋体" w:hAnsi="宋体"/>
        </w:rPr>
        <w:t>我单位保证，若所投货物涉及</w:t>
      </w:r>
      <w:r>
        <w:rPr>
          <w:rFonts w:ascii="宋体" w:hAnsi="宋体"/>
        </w:rPr>
        <w:t>《</w:t>
      </w:r>
      <w:r>
        <w:rPr>
          <w:rFonts w:hint="eastAsia" w:ascii="宋体" w:hAnsi="宋体"/>
        </w:rPr>
        <w:t>财政部生态环境部关于印发节能产品政府采购品目清单的通知》（财库〔20</w:t>
      </w:r>
      <w:r>
        <w:rPr>
          <w:rFonts w:ascii="宋体" w:hAnsi="宋体"/>
        </w:rPr>
        <w:t>19</w:t>
      </w:r>
      <w:r>
        <w:rPr>
          <w:rFonts w:hint="eastAsia" w:ascii="宋体" w:hAnsi="宋体"/>
        </w:rPr>
        <w:t>〕</w:t>
      </w:r>
      <w:r>
        <w:rPr>
          <w:rFonts w:ascii="宋体" w:hAnsi="宋体"/>
        </w:rPr>
        <w:t>19</w:t>
      </w:r>
      <w:r>
        <w:rPr>
          <w:rFonts w:hint="eastAsia" w:ascii="宋体" w:hAnsi="宋体"/>
        </w:rPr>
        <w:t>号）列明的政府采购强制产品，则所投该产品符合节能产品的认证要求。</w:t>
      </w:r>
    </w:p>
    <w:p>
      <w:pPr>
        <w:ind w:firstLine="420" w:firstLineChars="200"/>
        <w:rPr>
          <w:rFonts w:ascii="宋体" w:hAnsi="宋体"/>
          <w:szCs w:val="21"/>
        </w:rPr>
      </w:pPr>
      <w:r>
        <w:rPr>
          <w:rFonts w:hint="eastAsia" w:ascii="宋体" w:hAnsi="宋体"/>
          <w:szCs w:val="21"/>
        </w:rPr>
        <w:t>以上承诺，如有违反，愿依照国家相关法律法规处理，并承担由此给采购人带来的损失。</w:t>
      </w:r>
    </w:p>
    <w:p>
      <w:pPr>
        <w:spacing w:before="60" w:beforeLines="25" w:after="60" w:afterLines="25"/>
        <w:ind w:firstLine="5460" w:firstLineChars="2600"/>
        <w:rPr>
          <w:rFonts w:ascii="宋体" w:hAnsi="宋体"/>
          <w:szCs w:val="21"/>
        </w:rPr>
      </w:pPr>
      <w:r>
        <w:rPr>
          <w:rFonts w:hint="eastAsia" w:ascii="宋体" w:hAnsi="宋体"/>
          <w:szCs w:val="21"/>
        </w:rPr>
        <w:t xml:space="preserve">                                    </w:t>
      </w:r>
    </w:p>
    <w:p>
      <w:pPr>
        <w:spacing w:before="60" w:beforeLines="25" w:after="60" w:afterLines="25"/>
        <w:ind w:firstLine="5460" w:firstLineChars="2600"/>
        <w:rPr>
          <w:color w:val="FF0000"/>
        </w:rPr>
      </w:pPr>
      <w:r>
        <w:rPr>
          <w:rFonts w:hint="eastAsia"/>
          <w:color w:val="FF0000"/>
          <w:szCs w:val="21"/>
        </w:rPr>
        <w:t>投标人：</w:t>
      </w:r>
      <w:r>
        <w:rPr>
          <w:rFonts w:hint="eastAsia"/>
          <w:color w:val="FF0000"/>
          <w:szCs w:val="21"/>
          <w:u w:val="single"/>
        </w:rPr>
        <w:t xml:space="preserve">              </w:t>
      </w:r>
    </w:p>
    <w:p>
      <w:pPr>
        <w:ind w:firstLine="645"/>
        <w:rPr>
          <w:rFonts w:ascii="宋体" w:hAnsi="宋体"/>
          <w:color w:val="FF0000"/>
          <w:szCs w:val="21"/>
        </w:rPr>
      </w:pPr>
      <w:r>
        <w:rPr>
          <w:rFonts w:hint="eastAsia" w:ascii="宋体" w:hAnsi="宋体"/>
          <w:color w:val="FF0000"/>
          <w:szCs w:val="21"/>
        </w:rPr>
        <w:t xml:space="preserve">                                              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p>
    <w:bookmarkEnd w:id="54"/>
    <w:p>
      <w:pPr>
        <w:ind w:firstLine="645"/>
        <w:rPr>
          <w:rFonts w:ascii="宋体" w:hAnsi="宋体"/>
          <w:szCs w:val="21"/>
        </w:rPr>
      </w:pPr>
    </w:p>
    <w:p>
      <w:pPr>
        <w:rPr>
          <w:rFonts w:ascii="宋体"/>
          <w:b/>
          <w:szCs w:val="21"/>
        </w:rPr>
      </w:pPr>
    </w:p>
    <w:p>
      <w:pPr>
        <w:ind w:firstLine="482" w:firstLineChars="200"/>
        <w:jc w:val="center"/>
        <w:rPr>
          <w:rFonts w:hAnsi="宋体"/>
          <w:b/>
          <w:bCs/>
          <w:sz w:val="24"/>
        </w:rPr>
      </w:pPr>
    </w:p>
    <w:p>
      <w:pPr>
        <w:pStyle w:val="4"/>
        <w:jc w:val="center"/>
        <w:rPr>
          <w:rFonts w:ascii="黑体" w:eastAsia="黑体"/>
          <w:b w:val="0"/>
          <w:sz w:val="24"/>
          <w:szCs w:val="24"/>
        </w:rPr>
      </w:pPr>
      <w:r>
        <w:rPr>
          <w:rFonts w:hint="eastAsia" w:ascii="黑体" w:eastAsia="黑体"/>
          <w:b w:val="0"/>
          <w:sz w:val="24"/>
          <w:szCs w:val="24"/>
        </w:rPr>
        <w:t>三、投标人情况及资格证明文件</w:t>
      </w:r>
    </w:p>
    <w:p>
      <w:pPr>
        <w:rPr>
          <w:b/>
          <w:bCs/>
          <w:sz w:val="24"/>
        </w:rPr>
      </w:pPr>
    </w:p>
    <w:p>
      <w:pPr>
        <w:ind w:firstLine="2640" w:firstLineChars="1100"/>
        <w:outlineLvl w:val="3"/>
        <w:rPr>
          <w:rFonts w:ascii="黑体" w:hAnsi="宋体" w:eastAsia="黑体"/>
          <w:bCs/>
          <w:kern w:val="0"/>
          <w:sz w:val="24"/>
          <w:szCs w:val="32"/>
        </w:rPr>
      </w:pPr>
      <w:bookmarkStart w:id="57" w:name="_Hlk72257590"/>
      <w:r>
        <w:rPr>
          <w:rFonts w:hint="eastAsia" w:ascii="黑体" w:hAnsi="宋体" w:eastAsia="黑体"/>
          <w:bCs/>
          <w:kern w:val="0"/>
          <w:sz w:val="24"/>
          <w:szCs w:val="32"/>
        </w:rPr>
        <w:t>（一）投标人资格证明文件</w:t>
      </w:r>
    </w:p>
    <w:p>
      <w:pPr>
        <w:spacing w:before="120" w:beforeLines="50"/>
        <w:ind w:firstLine="422" w:firstLineChars="200"/>
        <w:rPr>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pPr>
        <w:rPr>
          <w:b/>
          <w:bCs/>
          <w:sz w:val="24"/>
        </w:rPr>
      </w:pPr>
    </w:p>
    <w:p>
      <w:pPr>
        <w:ind w:firstLine="480" w:firstLineChars="200"/>
        <w:outlineLvl w:val="3"/>
        <w:rPr>
          <w:rFonts w:ascii="黑体" w:hAnsi="宋体" w:eastAsia="黑体"/>
          <w:bCs/>
          <w:kern w:val="0"/>
          <w:sz w:val="24"/>
          <w:szCs w:val="32"/>
        </w:rPr>
      </w:pPr>
      <w:bookmarkStart w:id="58" w:name="_Hlk72257908"/>
      <w:r>
        <w:rPr>
          <w:rFonts w:hint="eastAsia" w:ascii="黑体" w:hAnsi="宋体" w:eastAsia="黑体"/>
          <w:bCs/>
          <w:kern w:val="0"/>
          <w:sz w:val="24"/>
          <w:szCs w:val="32"/>
        </w:rPr>
        <w:t>（二）中小企业声明函、残疾人福利性单位声明函及监狱企业声明函</w:t>
      </w:r>
    </w:p>
    <w:bookmarkEnd w:id="57"/>
    <w:p>
      <w:pPr>
        <w:jc w:val="left"/>
        <w:outlineLvl w:val="9"/>
        <w:rPr>
          <w:rFonts w:ascii="黑体" w:hAnsi="宋体" w:eastAsia="黑体"/>
          <w:bCs/>
          <w:kern w:val="0"/>
          <w:sz w:val="24"/>
          <w:szCs w:val="32"/>
        </w:rPr>
      </w:pP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填写指引：</w:t>
      </w:r>
    </w:p>
    <w:p>
      <w:pPr>
        <w:ind w:firstLine="420" w:firstLineChars="200"/>
        <w:outlineLvl w:val="9"/>
        <w:rPr>
          <w:rFonts w:ascii="黑体" w:hAnsi="黑体" w:eastAsia="黑体"/>
          <w:color w:val="FF0000"/>
          <w:szCs w:val="21"/>
        </w:rPr>
      </w:pPr>
      <w:r>
        <w:rPr>
          <w:rFonts w:hint="eastAsia" w:ascii="黑体" w:hAnsi="宋体" w:eastAsia="黑体"/>
          <w:bCs/>
          <w:color w:val="FF0000"/>
          <w:kern w:val="0"/>
          <w:szCs w:val="21"/>
        </w:rPr>
        <w:t>1、该部分内容由投标人根据自身实际情况填写，不符合要求的投标人可以不填写或直接删除相应的声明函。</w:t>
      </w:r>
      <w:r>
        <w:rPr>
          <w:rFonts w:hint="eastAsia" w:ascii="黑体" w:hAnsi="黑体" w:eastAsia="黑体"/>
          <w:color w:val="FF0000"/>
          <w:szCs w:val="21"/>
        </w:rPr>
        <w:t>投标人提供的声明函不属实的，属于提供虚假资料谋取中标，依照《中华人民共和国政府采购法》等国家有关规定追究相应责任。</w:t>
      </w:r>
    </w:p>
    <w:p>
      <w:pPr>
        <w:ind w:firstLine="420" w:firstLineChars="200"/>
        <w:outlineLvl w:val="9"/>
        <w:rPr>
          <w:rFonts w:ascii="黑体" w:hAnsi="黑体" w:eastAsia="黑体"/>
          <w:color w:val="FF0000"/>
          <w:szCs w:val="21"/>
        </w:rPr>
      </w:pPr>
      <w:r>
        <w:rPr>
          <w:rFonts w:hint="eastAsia" w:ascii="黑体" w:hAnsi="黑体" w:eastAsia="黑体"/>
          <w:color w:val="FF0000"/>
          <w:szCs w:val="21"/>
        </w:rPr>
        <w:t>2、该部分内容填写需要参考的相关文件：(</w:t>
      </w:r>
      <w:r>
        <w:rPr>
          <w:rFonts w:ascii="黑体" w:hAnsi="黑体" w:eastAsia="黑体"/>
          <w:color w:val="FF0000"/>
          <w:szCs w:val="21"/>
        </w:rPr>
        <w:t>1</w:t>
      </w:r>
      <w:r>
        <w:rPr>
          <w:rFonts w:hint="eastAsia" w:ascii="黑体" w:hAnsi="黑体" w:eastAsia="黑体"/>
          <w:color w:val="FF0000"/>
          <w:szCs w:val="21"/>
        </w:rPr>
        <w:t>)财政部《政府采购促进中小企业发展管理办法》（财库〔2020〕46号）；(</w:t>
      </w:r>
      <w:r>
        <w:rPr>
          <w:rFonts w:ascii="黑体" w:hAnsi="黑体" w:eastAsia="黑体"/>
          <w:color w:val="FF0000"/>
          <w:szCs w:val="21"/>
        </w:rPr>
        <w:t>2</w:t>
      </w:r>
      <w:r>
        <w:rPr>
          <w:rFonts w:hint="eastAsia" w:ascii="黑体" w:hAnsi="黑体" w:eastAsia="黑体"/>
          <w:color w:val="FF0000"/>
          <w:szCs w:val="21"/>
        </w:rPr>
        <w:t>)</w:t>
      </w:r>
      <w:bookmarkStart w:id="59" w:name="_Hlk71925120"/>
      <w:r>
        <w:rPr>
          <w:rFonts w:hint="eastAsia" w:ascii="黑体" w:hAnsi="黑体" w:eastAsia="黑体"/>
          <w:color w:val="FF0000"/>
          <w:szCs w:val="21"/>
        </w:rPr>
        <w:t>《工业和信息化部、国家统计局、国家发展和改革委员会、财政部关于印发中小企业划型标准规定的通知》（工信部联企业〔2011〕300 号</w:t>
      </w:r>
      <w:bookmarkEnd w:id="59"/>
      <w:r>
        <w:rPr>
          <w:rFonts w:hint="eastAsia" w:ascii="黑体" w:hAnsi="黑体" w:eastAsia="黑体"/>
          <w:color w:val="FF0000"/>
          <w:szCs w:val="21"/>
        </w:rPr>
        <w:t>，以下简称3</w:t>
      </w:r>
      <w:r>
        <w:rPr>
          <w:rFonts w:ascii="黑体" w:hAnsi="黑体" w:eastAsia="黑体"/>
          <w:color w:val="FF0000"/>
          <w:szCs w:val="21"/>
        </w:rPr>
        <w:t>00</w:t>
      </w:r>
      <w:r>
        <w:rPr>
          <w:rFonts w:hint="eastAsia" w:ascii="黑体" w:hAnsi="黑体" w:eastAsia="黑体"/>
          <w:color w:val="FF0000"/>
          <w:szCs w:val="21"/>
        </w:rPr>
        <w:t>号文）。</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3、请依照提供的格式和内容填写声明函，不要随意变更格式；声明函不需要盖章或签字；</w:t>
      </w:r>
      <w:r>
        <w:rPr>
          <w:rFonts w:hint="eastAsia" w:ascii="黑体" w:hAnsi="黑体" w:eastAsia="黑体"/>
          <w:color w:val="FF0000"/>
          <w:szCs w:val="21"/>
        </w:rPr>
        <w:t>满足多项优惠政策的投标人，不重复享受多项价格扣除政策。</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4、声明函具体填写要求：</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（1）声明是中小企业须填写《中小企业声明函》的以下内容：</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第一处，在“单位名称”下划线处如实填写采购人名称（深圳公共资源交易中心不是本项目的采购人，而是组织实施机构）；</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第二处，在“项目名称”下划线处如实填写采购项目名称；</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（2）声明是残疾人福利性单位须填写《残疾人福利性单位声明函》的相关内容，具体参照以上《中小企业声明函》填写要求执行。</w:t>
      </w:r>
    </w:p>
    <w:p>
      <w:pPr>
        <w:ind w:firstLine="420" w:firstLineChars="200"/>
        <w:outlineLvl w:val="9"/>
        <w:rPr>
          <w:rFonts w:ascii="黑体" w:hAnsi="宋体" w:eastAsia="黑体"/>
          <w:bCs/>
          <w:color w:val="FF0000"/>
          <w:kern w:val="0"/>
          <w:szCs w:val="21"/>
        </w:rPr>
      </w:pPr>
      <w:r>
        <w:rPr>
          <w:rFonts w:hint="eastAsia" w:ascii="黑体" w:hAnsi="宋体" w:eastAsia="黑体"/>
          <w:bCs/>
          <w:color w:val="FF0000"/>
          <w:kern w:val="0"/>
          <w:szCs w:val="21"/>
        </w:rPr>
        <w:t>（3）声明是监狱企业须填写《监狱企业声明函》的三项内容（填写位置的字体已加粗），具体参照以上《中小企业声明函》填写要求执行。</w:t>
      </w:r>
    </w:p>
    <w:p>
      <w:pPr>
        <w:ind w:firstLine="420" w:firstLineChars="200"/>
      </w:pPr>
      <w:r>
        <w:rPr>
          <w:rFonts w:hint="eastAsia" w:ascii="黑体" w:hAnsi="宋体" w:eastAsia="黑体"/>
          <w:bCs/>
          <w:color w:val="FF0000"/>
          <w:kern w:val="0"/>
          <w:szCs w:val="21"/>
        </w:rPr>
        <w:t>5、声明函的有效性最终由评审委员会判定；如评审委员会判定声明函无效，相关供应商不享受</w:t>
      </w:r>
      <w:r>
        <w:rPr>
          <w:rFonts w:hint="eastAsia" w:ascii="黑体" w:hAnsi="黑体" w:eastAsia="黑体"/>
          <w:color w:val="FF0000"/>
          <w:szCs w:val="21"/>
        </w:rPr>
        <w:t>价格扣除</w:t>
      </w:r>
      <w:r>
        <w:rPr>
          <w:rFonts w:hint="eastAsia" w:ascii="黑体" w:hAnsi="宋体" w:eastAsia="黑体"/>
          <w:bCs/>
          <w:color w:val="FF0000"/>
          <w:kern w:val="0"/>
          <w:szCs w:val="21"/>
        </w:rPr>
        <w:t>（但不作投标无效处理）。</w:t>
      </w:r>
    </w:p>
    <w:p>
      <w:pPr>
        <w:ind w:firstLine="420" w:firstLineChars="200"/>
      </w:pPr>
    </w:p>
    <w:p>
      <w:pPr>
        <w:jc w:val="center"/>
        <w:outlineLvl w:val="9"/>
        <w:rPr>
          <w:b/>
          <w:sz w:val="24"/>
        </w:rPr>
      </w:pPr>
      <w:r>
        <w:rPr>
          <w:rFonts w:hint="eastAsia"/>
          <w:b/>
          <w:sz w:val="24"/>
        </w:rPr>
        <w:t>1、</w:t>
      </w:r>
      <w:r>
        <w:rPr>
          <w:b/>
          <w:sz w:val="24"/>
        </w:rPr>
        <w:t xml:space="preserve">中小企业声明函（货物） </w:t>
      </w:r>
    </w:p>
    <w:p>
      <w:pPr>
        <w:ind w:firstLine="420" w:firstLineChars="200"/>
        <w:outlineLvl w:val="9"/>
        <w:rPr>
          <w:rFonts w:ascii="宋体" w:hAnsi="宋体"/>
          <w:szCs w:val="21"/>
        </w:rPr>
      </w:pPr>
      <w:r>
        <w:rPr>
          <w:rFonts w:ascii="宋体" w:hAnsi="宋体" w:cstheme="minorBidi"/>
          <w:szCs w:val="21"/>
        </w:rPr>
        <w:t>本</w:t>
      </w:r>
      <w:r>
        <w:rPr>
          <w:rFonts w:hint="eastAsia" w:ascii="宋体" w:hAnsi="宋体" w:cstheme="minorBidi"/>
          <w:szCs w:val="21"/>
        </w:rPr>
        <w:t>投标人</w:t>
      </w:r>
      <w:r>
        <w:rPr>
          <w:rFonts w:ascii="宋体" w:hAnsi="宋体" w:cstheme="minorBidi"/>
          <w:szCs w:val="21"/>
        </w:rPr>
        <w:t>郑重声明，根据《政府采购促进中小企业发展管理办法》（财库</w:t>
      </w:r>
      <w:r>
        <w:rPr>
          <w:rFonts w:hint="eastAsia" w:ascii="宋体" w:hAnsi="宋体" w:cs="微软雅黑"/>
          <w:szCs w:val="21"/>
        </w:rPr>
        <w:t>﹝</w:t>
      </w:r>
      <w:r>
        <w:rPr>
          <w:rFonts w:ascii="宋体" w:hAnsi="宋体" w:cstheme="minorBidi"/>
          <w:szCs w:val="21"/>
        </w:rPr>
        <w:t>2020</w:t>
      </w:r>
      <w:r>
        <w:rPr>
          <w:rFonts w:hint="eastAsia" w:ascii="宋体" w:hAnsi="宋体" w:cs="微软雅黑"/>
          <w:szCs w:val="21"/>
        </w:rPr>
        <w:t>﹞</w:t>
      </w:r>
      <w:r>
        <w:rPr>
          <w:rFonts w:ascii="宋体" w:hAnsi="宋体" w:cstheme="minorBidi"/>
          <w:szCs w:val="21"/>
        </w:rPr>
        <w:t>46 号）的规定，本</w:t>
      </w:r>
      <w:r>
        <w:rPr>
          <w:rFonts w:hint="eastAsia" w:ascii="宋体" w:hAnsi="宋体" w:cstheme="minorBidi"/>
          <w:szCs w:val="21"/>
        </w:rPr>
        <w:t>投标人</w:t>
      </w:r>
      <w:r>
        <w:rPr>
          <w:rFonts w:ascii="宋体" w:hAnsi="宋体" w:cstheme="minorBidi"/>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采购活动，提供的货物全部由符合政策要求的中小企业制造。相关企业的具体情况如下：</w:t>
      </w:r>
    </w:p>
    <w:p>
      <w:pPr>
        <w:ind w:firstLine="420" w:firstLineChars="200"/>
        <w:outlineLvl w:val="9"/>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hint="eastAsia" w:ascii="宋体" w:hAnsi="宋体"/>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pPr>
        <w:ind w:firstLine="420" w:firstLineChars="200"/>
        <w:outlineLvl w:val="9"/>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hint="eastAsia" w:ascii="宋体" w:hAnsi="宋体"/>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hint="eastAsia" w:ascii="宋体" w:hAnsi="宋体"/>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hint="eastAsia" w:ascii="宋体" w:hAnsi="宋体"/>
          <w:szCs w:val="21"/>
        </w:rPr>
        <w:t>；</w:t>
      </w:r>
    </w:p>
    <w:p>
      <w:pPr>
        <w:ind w:firstLine="420" w:firstLineChars="200"/>
        <w:outlineLvl w:val="9"/>
        <w:rPr>
          <w:rFonts w:ascii="宋体" w:hAnsi="宋体"/>
          <w:szCs w:val="21"/>
        </w:rPr>
      </w:pPr>
      <w:r>
        <w:rPr>
          <w:rFonts w:ascii="宋体" w:hAnsi="宋体"/>
          <w:szCs w:val="21"/>
        </w:rPr>
        <w:t xml:space="preserve">…… </w:t>
      </w:r>
    </w:p>
    <w:p>
      <w:pPr>
        <w:ind w:firstLine="420" w:firstLineChars="200"/>
        <w:outlineLvl w:val="9"/>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ind w:firstLine="420" w:firstLineChars="200"/>
      </w:pPr>
      <w:bookmarkStart w:id="60" w:name="_Hlk73562203"/>
      <w:r>
        <w:rPr>
          <w:rFonts w:hint="eastAsia"/>
        </w:rPr>
        <w:t>本</w:t>
      </w:r>
      <w: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60"/>
    </w:p>
    <w:p>
      <w:pPr>
        <w:ind w:firstLine="420" w:firstLineChars="200"/>
        <w:outlineLvl w:val="9"/>
        <w:rPr>
          <w:rFonts w:ascii="宋体" w:hAnsi="宋体"/>
          <w:bCs/>
          <w:color w:val="FF0000"/>
          <w:kern w:val="0"/>
          <w:szCs w:val="21"/>
        </w:rPr>
      </w:pPr>
    </w:p>
    <w:p/>
    <w:p>
      <w:pPr>
        <w:ind w:firstLine="420" w:firstLineChars="200"/>
      </w:pPr>
    </w:p>
    <w:p>
      <w:pPr>
        <w:jc w:val="center"/>
        <w:outlineLvl w:val="9"/>
        <w:rPr>
          <w:b/>
          <w:sz w:val="24"/>
        </w:rPr>
      </w:pPr>
      <w:r>
        <w:rPr>
          <w:rFonts w:hint="eastAsia"/>
          <w:b/>
          <w:sz w:val="24"/>
        </w:rPr>
        <w:t>2、残疾人福利性单位声明函（货物类）</w:t>
      </w:r>
    </w:p>
    <w:p>
      <w:pPr>
        <w:rPr>
          <w:b/>
          <w:bCs/>
        </w:rPr>
      </w:pPr>
    </w:p>
    <w:p>
      <w:pPr>
        <w:ind w:firstLine="420" w:firstLineChars="200"/>
        <w:rPr>
          <w:rFonts w:ascii="宋体" w:hAnsi="宋体"/>
          <w:szCs w:val="21"/>
        </w:rPr>
      </w:pPr>
      <w:r>
        <w:rPr>
          <w:rFonts w:ascii="宋体" w:hAnsi="宋体" w:cstheme="minorBidi"/>
          <w:szCs w:val="21"/>
        </w:rPr>
        <w:t>本</w:t>
      </w:r>
      <w:r>
        <w:rPr>
          <w:rFonts w:hint="eastAsia" w:ascii="宋体" w:hAnsi="宋体" w:cstheme="minorBidi"/>
          <w:szCs w:val="21"/>
        </w:rPr>
        <w:t>投标人</w:t>
      </w:r>
      <w:r>
        <w:rPr>
          <w:rFonts w:hint="eastAsia" w:ascii="宋体" w:hAnsi="宋体"/>
          <w:szCs w:val="21"/>
        </w:rPr>
        <w:t>郑重声明，根据《财政部民政部中国残疾人联合会关于促进残疾人就业政府采购政策的通知》（财库〔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号）的规定，本投标人</w:t>
      </w:r>
      <w:r>
        <w:rPr>
          <w:rFonts w:ascii="宋体" w:hAnsi="宋体" w:cstheme="minorBidi"/>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hint="eastAsia" w:ascii="宋体" w:hAnsi="宋体"/>
          <w:szCs w:val="21"/>
        </w:rPr>
        <w:t>残疾人福利性单位</w:t>
      </w:r>
      <w:r>
        <w:rPr>
          <w:rFonts w:ascii="宋体" w:hAnsi="宋体"/>
          <w:szCs w:val="21"/>
        </w:rPr>
        <w:t>制造。相关</w:t>
      </w:r>
      <w:r>
        <w:rPr>
          <w:rFonts w:hint="eastAsia" w:ascii="宋体" w:hAnsi="宋体"/>
          <w:szCs w:val="21"/>
        </w:rPr>
        <w:t>残疾人福利性单位</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单位</w:t>
      </w:r>
      <w:r>
        <w:rPr>
          <w:rFonts w:ascii="宋体" w:hAnsi="宋体"/>
          <w:b/>
          <w:bCs/>
          <w:szCs w:val="21"/>
          <w:u w:val="single"/>
        </w:rPr>
        <w:t>名称）</w:t>
      </w:r>
      <w:r>
        <w:rPr>
          <w:rFonts w:ascii="宋体" w:hAnsi="宋体"/>
          <w:szCs w:val="21"/>
        </w:rPr>
        <w:t>，属于</w:t>
      </w:r>
      <w:r>
        <w:rPr>
          <w:rFonts w:hint="eastAsia" w:ascii="宋体" w:hAnsi="宋体"/>
          <w:b/>
          <w:bCs/>
          <w:szCs w:val="21"/>
          <w:u w:val="single"/>
        </w:rPr>
        <w:t>残疾人福利性单位</w:t>
      </w:r>
      <w:r>
        <w:rPr>
          <w:rFonts w:hint="eastAsia" w:ascii="宋体" w:hAnsi="宋体"/>
          <w:szCs w:val="21"/>
        </w:rPr>
        <w:t>。</w:t>
      </w:r>
    </w:p>
    <w:p>
      <w:pPr>
        <w:ind w:firstLine="420" w:firstLineChars="200"/>
        <w:outlineLvl w:val="9"/>
        <w:rPr>
          <w:rFonts w:ascii="宋体" w:hAnsi="宋体"/>
          <w:szCs w:val="21"/>
        </w:rPr>
      </w:pPr>
      <w:r>
        <w:rPr>
          <w:rFonts w:ascii="宋体" w:hAnsi="宋体"/>
          <w:szCs w:val="21"/>
        </w:rPr>
        <w:t xml:space="preserve">…… </w:t>
      </w:r>
    </w:p>
    <w:p>
      <w:pPr>
        <w:ind w:firstLine="420" w:firstLineChars="200"/>
        <w:rPr>
          <w:rFonts w:ascii="宋体" w:hAnsi="宋体"/>
          <w:szCs w:val="21"/>
        </w:rPr>
      </w:pPr>
      <w:bookmarkStart w:id="61" w:name="_Hlk73562331"/>
      <w:bookmarkStart w:id="62" w:name="_Hlk73562245"/>
      <w:r>
        <w:rPr>
          <w:rFonts w:hint="eastAsia"/>
        </w:rPr>
        <w:t>本</w:t>
      </w:r>
      <w:r>
        <w:t>投标人</w:t>
      </w:r>
      <w:r>
        <w:rPr>
          <w:rFonts w:hint="eastAsia"/>
        </w:rPr>
        <w:t>已</w:t>
      </w:r>
      <w:r>
        <w:t>知悉</w:t>
      </w:r>
      <w:r>
        <w:rPr>
          <w:rFonts w:hint="eastAsia"/>
        </w:rPr>
        <w:t>《财政部民政部中国残疾人联合会关于促进残疾人就业政府采购政策的通知》（财库〔2017〕141 号）</w:t>
      </w:r>
      <w:r>
        <w:t>的规定，承诺提供的声明函内容是真实的，如提供声明函内容不实，则依法追究相关法律责任</w:t>
      </w:r>
      <w:r>
        <w:rPr>
          <w:rFonts w:hint="eastAsia"/>
        </w:rPr>
        <w:t>。</w:t>
      </w:r>
      <w:bookmarkEnd w:id="61"/>
    </w:p>
    <w:bookmarkEnd w:id="62"/>
    <w:p>
      <w:pPr>
        <w:ind w:firstLine="420" w:firstLineChars="200"/>
        <w:rPr>
          <w:rFonts w:ascii="宋体" w:hAnsi="宋体"/>
          <w:szCs w:val="21"/>
        </w:rPr>
      </w:pPr>
    </w:p>
    <w:p>
      <w:pPr>
        <w:ind w:firstLine="420" w:firstLineChars="200"/>
        <w:rPr>
          <w:rFonts w:ascii="宋体" w:hAnsi="宋体"/>
          <w:szCs w:val="21"/>
        </w:rPr>
      </w:pPr>
    </w:p>
    <w:p>
      <w:pPr>
        <w:jc w:val="center"/>
        <w:outlineLvl w:val="9"/>
        <w:rPr>
          <w:b/>
          <w:sz w:val="24"/>
        </w:rPr>
      </w:pPr>
      <w:r>
        <w:rPr>
          <w:rFonts w:hint="eastAsia"/>
          <w:b/>
          <w:sz w:val="24"/>
        </w:rPr>
        <w:t>3、监狱企业声明函【货物类，提供监狱企业货物的供应商如需享受优惠政策，还须另行提供省级以上监狱管理局、戒毒管理局（含新疆生产建设兵团）出具的监狱企业证明文件】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本投标人郑重声明，根据《财政部司法部关于政府采购支持监狱企业发展有关问题的通知》（财库〔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号）的规定，本投标人</w:t>
      </w:r>
      <w:r>
        <w:rPr>
          <w:rFonts w:ascii="宋体" w:hAnsi="宋体" w:cstheme="minorBidi"/>
          <w:szCs w:val="21"/>
        </w:rPr>
        <w:t>参加</w:t>
      </w:r>
      <w:r>
        <w:rPr>
          <w:rFonts w:ascii="宋体" w:hAnsi="宋体"/>
          <w:b/>
          <w:bCs/>
          <w:szCs w:val="21"/>
          <w:u w:val="single"/>
        </w:rPr>
        <w:t>（</w:t>
      </w:r>
      <w:r>
        <w:rPr>
          <w:rFonts w:hint="eastAsia" w:ascii="宋体" w:hAnsi="宋体"/>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hint="eastAsia" w:ascii="宋体" w:hAnsi="宋体"/>
          <w:szCs w:val="21"/>
        </w:rPr>
        <w:t>监狱企业</w:t>
      </w:r>
      <w:r>
        <w:rPr>
          <w:rFonts w:ascii="宋体" w:hAnsi="宋体"/>
          <w:szCs w:val="21"/>
        </w:rPr>
        <w:t>制造。相关</w:t>
      </w:r>
      <w:r>
        <w:rPr>
          <w:rFonts w:hint="eastAsia" w:ascii="宋体" w:hAnsi="宋体"/>
          <w:szCs w:val="21"/>
        </w:rPr>
        <w:t>监狱企业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hint="eastAsia" w:ascii="宋体" w:hAnsi="宋体"/>
          <w:szCs w:val="21"/>
        </w:rPr>
        <w:t>，</w:t>
      </w:r>
      <w:r>
        <w:rPr>
          <w:rFonts w:ascii="宋体" w:hAnsi="宋体"/>
          <w:szCs w:val="21"/>
        </w:rPr>
        <w:t>制造商为</w:t>
      </w:r>
      <w:r>
        <w:rPr>
          <w:rFonts w:ascii="宋体" w:hAnsi="宋体"/>
          <w:b/>
          <w:bCs/>
          <w:szCs w:val="21"/>
          <w:u w:val="single"/>
        </w:rPr>
        <w:t>（</w:t>
      </w:r>
      <w:r>
        <w:rPr>
          <w:rFonts w:hint="eastAsia" w:ascii="宋体" w:hAnsi="宋体"/>
          <w:b/>
          <w:bCs/>
          <w:szCs w:val="21"/>
          <w:u w:val="single"/>
        </w:rPr>
        <w:t>企业</w:t>
      </w:r>
      <w:r>
        <w:rPr>
          <w:rFonts w:ascii="宋体" w:hAnsi="宋体"/>
          <w:b/>
          <w:bCs/>
          <w:szCs w:val="21"/>
          <w:u w:val="single"/>
        </w:rPr>
        <w:t>名称）</w:t>
      </w:r>
      <w:r>
        <w:rPr>
          <w:rFonts w:ascii="宋体" w:hAnsi="宋体"/>
          <w:szCs w:val="21"/>
        </w:rPr>
        <w:t>，属于</w:t>
      </w:r>
      <w:r>
        <w:rPr>
          <w:rFonts w:hint="eastAsia" w:ascii="宋体" w:hAnsi="宋体"/>
          <w:b/>
          <w:bCs/>
          <w:szCs w:val="21"/>
          <w:u w:val="single"/>
        </w:rPr>
        <w:t>监狱企业</w:t>
      </w:r>
      <w:r>
        <w:rPr>
          <w:rFonts w:hint="eastAsia" w:ascii="宋体" w:hAnsi="宋体"/>
          <w:szCs w:val="21"/>
        </w:rPr>
        <w:t>。</w:t>
      </w:r>
    </w:p>
    <w:p>
      <w:pPr>
        <w:ind w:firstLine="420" w:firstLineChars="200"/>
        <w:outlineLvl w:val="9"/>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cstheme="minorBidi"/>
          <w:szCs w:val="21"/>
        </w:rPr>
        <w:t>本</w:t>
      </w:r>
      <w:r>
        <w:rPr>
          <w:rFonts w:hint="eastAsia" w:ascii="宋体" w:hAnsi="宋体" w:cstheme="minorBidi"/>
          <w:szCs w:val="21"/>
        </w:rPr>
        <w:t>投标人</w:t>
      </w:r>
      <w:r>
        <w:rPr>
          <w:rFonts w:ascii="宋体" w:hAnsi="宋体"/>
          <w:szCs w:val="21"/>
        </w:rPr>
        <w:t>对上述声明内容的真实性负责。如有虚假，将依法承担相应责任。</w:t>
      </w:r>
    </w:p>
    <w:p>
      <w:pPr>
        <w:ind w:firstLine="420" w:firstLineChars="200"/>
        <w:outlineLvl w:val="9"/>
        <w:rPr>
          <w:b/>
          <w:bCs/>
          <w:sz w:val="24"/>
        </w:rPr>
      </w:pPr>
      <w:r>
        <w:rPr>
          <w:rFonts w:hint="eastAsia" w:ascii="宋体" w:hAnsi="宋体"/>
          <w:szCs w:val="21"/>
        </w:rPr>
        <w:t>附：省级以上监狱管理局、戒毒管理局（含新疆生产建设兵团）出具的监狱企业证明文件</w:t>
      </w:r>
      <w:bookmarkEnd w:id="58"/>
    </w:p>
    <w:p>
      <w:pPr>
        <w:rPr>
          <w:b/>
          <w:bCs/>
          <w:color w:val="FF0000"/>
          <w:sz w:val="24"/>
        </w:rPr>
      </w:pPr>
    </w:p>
    <w:p>
      <w:pPr>
        <w:pStyle w:val="4"/>
        <w:jc w:val="center"/>
        <w:rPr>
          <w:rFonts w:ascii="黑体" w:eastAsia="黑体"/>
          <w:b w:val="0"/>
          <w:sz w:val="24"/>
          <w:szCs w:val="24"/>
        </w:rPr>
      </w:pPr>
      <w:bookmarkStart w:id="63" w:name="_Hlk72259976"/>
      <w:r>
        <w:rPr>
          <w:rFonts w:hint="eastAsia" w:ascii="黑体" w:eastAsia="黑体"/>
          <w:b w:val="0"/>
          <w:sz w:val="24"/>
          <w:szCs w:val="24"/>
        </w:rPr>
        <w:t>四、项目详细报价</w:t>
      </w:r>
    </w:p>
    <w:p>
      <w:pPr>
        <w:tabs>
          <w:tab w:val="left" w:pos="720"/>
        </w:tabs>
        <w:ind w:firstLine="3132" w:firstLineChars="1300"/>
        <w:rPr>
          <w:b/>
          <w:sz w:val="24"/>
        </w:rPr>
      </w:pPr>
      <w:r>
        <w:rPr>
          <w:rFonts w:hint="eastAsia"/>
          <w:b/>
          <w:sz w:val="24"/>
        </w:rPr>
        <w:t>（一）分项报价表</w:t>
      </w:r>
    </w:p>
    <w:tbl>
      <w:tblPr>
        <w:tblStyle w:val="43"/>
        <w:tblpPr w:leftFromText="180" w:rightFromText="180" w:vertAnchor="text" w:horzAnchor="margin" w:tblpY="17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55"/>
        <w:gridCol w:w="2267"/>
        <w:gridCol w:w="780"/>
        <w:gridCol w:w="680"/>
        <w:gridCol w:w="807"/>
        <w:gridCol w:w="513"/>
        <w:gridCol w:w="413"/>
        <w:gridCol w:w="634"/>
        <w:gridCol w:w="62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vAlign w:val="center"/>
          </w:tcPr>
          <w:p>
            <w:pPr>
              <w:jc w:val="center"/>
              <w:rPr>
                <w:bCs/>
                <w:szCs w:val="21"/>
              </w:rPr>
            </w:pPr>
            <w:r>
              <w:rPr>
                <w:rFonts w:hint="eastAsia"/>
                <w:bCs/>
                <w:szCs w:val="21"/>
              </w:rPr>
              <w:t>序号</w:t>
            </w:r>
          </w:p>
        </w:tc>
        <w:tc>
          <w:tcPr>
            <w:tcW w:w="655" w:type="dxa"/>
            <w:vAlign w:val="center"/>
          </w:tcPr>
          <w:p>
            <w:pPr>
              <w:jc w:val="center"/>
              <w:rPr>
                <w:bCs/>
                <w:szCs w:val="21"/>
              </w:rPr>
            </w:pPr>
            <w:r>
              <w:rPr>
                <w:rFonts w:hint="eastAsia"/>
                <w:szCs w:val="21"/>
              </w:rPr>
              <w:t>采购计划编号</w:t>
            </w:r>
          </w:p>
        </w:tc>
        <w:tc>
          <w:tcPr>
            <w:tcW w:w="2267" w:type="dxa"/>
            <w:vAlign w:val="center"/>
          </w:tcPr>
          <w:p>
            <w:pPr>
              <w:jc w:val="center"/>
              <w:rPr>
                <w:bCs/>
                <w:szCs w:val="21"/>
              </w:rPr>
            </w:pPr>
            <w:r>
              <w:rPr>
                <w:rFonts w:hint="eastAsia"/>
                <w:bCs/>
                <w:szCs w:val="21"/>
              </w:rPr>
              <w:t>货物名称</w:t>
            </w:r>
          </w:p>
        </w:tc>
        <w:tc>
          <w:tcPr>
            <w:tcW w:w="780" w:type="dxa"/>
            <w:vAlign w:val="center"/>
          </w:tcPr>
          <w:p>
            <w:pPr>
              <w:jc w:val="center"/>
              <w:rPr>
                <w:bCs/>
                <w:szCs w:val="21"/>
              </w:rPr>
            </w:pPr>
            <w:r>
              <w:rPr>
                <w:rFonts w:hint="eastAsia"/>
                <w:szCs w:val="21"/>
              </w:rPr>
              <w:t>规格/品牌/型号</w:t>
            </w:r>
          </w:p>
        </w:tc>
        <w:tc>
          <w:tcPr>
            <w:tcW w:w="680" w:type="dxa"/>
            <w:vAlign w:val="center"/>
          </w:tcPr>
          <w:p>
            <w:pPr>
              <w:jc w:val="center"/>
              <w:rPr>
                <w:bCs/>
                <w:szCs w:val="21"/>
              </w:rPr>
            </w:pPr>
            <w:r>
              <w:rPr>
                <w:rFonts w:hint="eastAsia"/>
                <w:b/>
                <w:color w:val="FF0000"/>
                <w:szCs w:val="21"/>
              </w:rPr>
              <w:t>原产地</w:t>
            </w:r>
          </w:p>
        </w:tc>
        <w:tc>
          <w:tcPr>
            <w:tcW w:w="807" w:type="dxa"/>
            <w:vAlign w:val="center"/>
          </w:tcPr>
          <w:p>
            <w:pPr>
              <w:jc w:val="center"/>
              <w:rPr>
                <w:bCs/>
                <w:szCs w:val="21"/>
              </w:rPr>
            </w:pPr>
            <w:r>
              <w:rPr>
                <w:rFonts w:hint="eastAsia"/>
                <w:szCs w:val="21"/>
              </w:rPr>
              <w:t>制造商名称</w:t>
            </w:r>
          </w:p>
        </w:tc>
        <w:tc>
          <w:tcPr>
            <w:tcW w:w="513" w:type="dxa"/>
            <w:vAlign w:val="center"/>
          </w:tcPr>
          <w:p>
            <w:pPr>
              <w:jc w:val="center"/>
              <w:rPr>
                <w:bCs/>
                <w:szCs w:val="21"/>
              </w:rPr>
            </w:pPr>
            <w:r>
              <w:rPr>
                <w:rFonts w:hint="eastAsia"/>
                <w:bCs/>
                <w:szCs w:val="21"/>
              </w:rPr>
              <w:t>数量</w:t>
            </w:r>
          </w:p>
        </w:tc>
        <w:tc>
          <w:tcPr>
            <w:tcW w:w="413" w:type="dxa"/>
            <w:vAlign w:val="center"/>
          </w:tcPr>
          <w:p>
            <w:pPr>
              <w:jc w:val="center"/>
              <w:rPr>
                <w:bCs/>
                <w:szCs w:val="21"/>
              </w:rPr>
            </w:pPr>
            <w:r>
              <w:rPr>
                <w:rFonts w:hint="eastAsia"/>
                <w:bCs/>
                <w:szCs w:val="21"/>
              </w:rPr>
              <w:t>单位</w:t>
            </w:r>
          </w:p>
        </w:tc>
        <w:tc>
          <w:tcPr>
            <w:tcW w:w="634" w:type="dxa"/>
            <w:vAlign w:val="center"/>
          </w:tcPr>
          <w:p>
            <w:pPr>
              <w:jc w:val="center"/>
              <w:rPr>
                <w:bCs/>
                <w:szCs w:val="21"/>
              </w:rPr>
            </w:pPr>
            <w:r>
              <w:rPr>
                <w:rFonts w:hint="eastAsia"/>
                <w:szCs w:val="21"/>
              </w:rPr>
              <w:t>单价(元)</w:t>
            </w:r>
          </w:p>
        </w:tc>
        <w:tc>
          <w:tcPr>
            <w:tcW w:w="626" w:type="dxa"/>
            <w:vAlign w:val="center"/>
          </w:tcPr>
          <w:p>
            <w:pPr>
              <w:jc w:val="center"/>
              <w:rPr>
                <w:bCs/>
                <w:szCs w:val="21"/>
              </w:rPr>
            </w:pPr>
            <w:r>
              <w:rPr>
                <w:rFonts w:hint="eastAsia"/>
                <w:szCs w:val="21"/>
              </w:rPr>
              <w:t>合价(元)</w:t>
            </w:r>
          </w:p>
        </w:tc>
        <w:tc>
          <w:tcPr>
            <w:tcW w:w="780" w:type="dxa"/>
            <w:vAlign w:val="center"/>
          </w:tcPr>
          <w:p>
            <w:pPr>
              <w:jc w:val="center"/>
              <w:rPr>
                <w:szCs w:val="21"/>
              </w:rPr>
            </w:pPr>
            <w:r>
              <w:rPr>
                <w:rFonts w:hint="eastAsia"/>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1</w:t>
            </w:r>
          </w:p>
        </w:tc>
        <w:tc>
          <w:tcPr>
            <w:tcW w:w="655" w:type="dxa"/>
            <w:vMerge w:val="restart"/>
            <w:vAlign w:val="center"/>
          </w:tcPr>
          <w:p>
            <w:pPr>
              <w:jc w:val="center"/>
              <w:rPr>
                <w:bCs/>
                <w:szCs w:val="21"/>
              </w:rPr>
            </w:pPr>
            <w:r>
              <w:rPr>
                <w:rFonts w:hint="eastAsia" w:ascii="宋体" w:hAnsi="宋体" w:eastAsia="宋体" w:cs="宋体"/>
                <w:sz w:val="18"/>
                <w:szCs w:val="18"/>
              </w:rPr>
              <w:t>PLAN-2021-440310-1002011001-01012</w:t>
            </w:r>
          </w:p>
        </w:tc>
        <w:tc>
          <w:tcPr>
            <w:tcW w:w="2267" w:type="dxa"/>
            <w:vAlign w:val="center"/>
          </w:tcPr>
          <w:p>
            <w:pPr>
              <w:widowControl/>
              <w:jc w:val="left"/>
              <w:rPr>
                <w:bCs/>
                <w:szCs w:val="21"/>
                <w:highlight w:val="yellow"/>
              </w:rPr>
            </w:pPr>
            <w:r>
              <w:rPr>
                <w:rFonts w:hint="eastAsia" w:ascii="宋体" w:hAnsi="宋体"/>
                <w:szCs w:val="21"/>
              </w:rPr>
              <w:t>超声切割止血系统</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bCs/>
                <w:szCs w:val="21"/>
              </w:rPr>
            </w:pPr>
            <w:r>
              <w:rPr>
                <w:rFonts w:hint="eastAsia" w:ascii="宋体" w:hAnsi="宋体"/>
                <w:szCs w:val="21"/>
              </w:rPr>
              <w:t>1</w:t>
            </w:r>
          </w:p>
        </w:tc>
        <w:tc>
          <w:tcPr>
            <w:tcW w:w="413" w:type="dxa"/>
            <w:vAlign w:val="center"/>
          </w:tcPr>
          <w:p>
            <w:pPr>
              <w:widowControl/>
              <w:jc w:val="center"/>
              <w:rPr>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Merge w:val="restart"/>
            <w:vAlign w:val="center"/>
          </w:tcPr>
          <w:p>
            <w:pPr>
              <w:jc w:val="center"/>
              <w:rPr>
                <w:b/>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2</w:t>
            </w:r>
          </w:p>
        </w:tc>
        <w:tc>
          <w:tcPr>
            <w:tcW w:w="655" w:type="dxa"/>
            <w:vMerge w:val="continue"/>
          </w:tcPr>
          <w:p>
            <w:pPr>
              <w:jc w:val="center"/>
              <w:rPr>
                <w:bCs/>
                <w:szCs w:val="21"/>
              </w:rPr>
            </w:pPr>
          </w:p>
        </w:tc>
        <w:tc>
          <w:tcPr>
            <w:tcW w:w="2267" w:type="dxa"/>
            <w:vAlign w:val="center"/>
          </w:tcPr>
          <w:p>
            <w:pPr>
              <w:widowControl/>
              <w:jc w:val="left"/>
              <w:rPr>
                <w:bCs/>
                <w:szCs w:val="21"/>
                <w:highlight w:val="yellow"/>
              </w:rPr>
            </w:pPr>
            <w:r>
              <w:rPr>
                <w:rFonts w:hint="eastAsia" w:ascii="宋体" w:hAnsi="宋体"/>
                <w:szCs w:val="21"/>
              </w:rPr>
              <w:t>电外科能量平台（高频电外科手术系统）</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bCs/>
                <w:szCs w:val="21"/>
              </w:rPr>
            </w:pPr>
            <w:r>
              <w:rPr>
                <w:rFonts w:hint="eastAsia" w:ascii="宋体" w:hAnsi="宋体"/>
                <w:szCs w:val="21"/>
              </w:rPr>
              <w:t>1</w:t>
            </w:r>
          </w:p>
        </w:tc>
        <w:tc>
          <w:tcPr>
            <w:tcW w:w="413" w:type="dxa"/>
            <w:vAlign w:val="center"/>
          </w:tcPr>
          <w:p>
            <w:pPr>
              <w:widowControl/>
              <w:jc w:val="center"/>
              <w:rPr>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Merge w:val="continue"/>
            <w:vAlign w:val="center"/>
          </w:tcPr>
          <w:p>
            <w:pPr>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3</w:t>
            </w:r>
          </w:p>
        </w:tc>
        <w:tc>
          <w:tcPr>
            <w:tcW w:w="655" w:type="dxa"/>
            <w:vMerge w:val="continue"/>
          </w:tcPr>
          <w:p>
            <w:pPr>
              <w:jc w:val="center"/>
              <w:rPr>
                <w:bCs/>
                <w:szCs w:val="21"/>
              </w:rPr>
            </w:pPr>
          </w:p>
        </w:tc>
        <w:tc>
          <w:tcPr>
            <w:tcW w:w="2267" w:type="dxa"/>
            <w:vAlign w:val="center"/>
          </w:tcPr>
          <w:p>
            <w:pPr>
              <w:widowControl/>
              <w:jc w:val="left"/>
              <w:rPr>
                <w:bCs/>
                <w:szCs w:val="21"/>
                <w:highlight w:val="yellow"/>
              </w:rPr>
            </w:pPr>
            <w:r>
              <w:rPr>
                <w:rFonts w:hint="eastAsia" w:ascii="宋体" w:hAnsi="宋体"/>
                <w:kern w:val="0"/>
                <w:szCs w:val="21"/>
              </w:rPr>
              <w:t>血液回收仪</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bCs/>
                <w:szCs w:val="21"/>
              </w:rPr>
            </w:pPr>
            <w:r>
              <w:rPr>
                <w:rFonts w:hint="eastAsia" w:ascii="宋体" w:hAnsi="宋体"/>
                <w:szCs w:val="21"/>
              </w:rPr>
              <w:t>1</w:t>
            </w:r>
          </w:p>
        </w:tc>
        <w:tc>
          <w:tcPr>
            <w:tcW w:w="413" w:type="dxa"/>
            <w:vAlign w:val="center"/>
          </w:tcPr>
          <w:p>
            <w:pPr>
              <w:widowControl/>
              <w:jc w:val="center"/>
              <w:rPr>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4</w:t>
            </w:r>
          </w:p>
        </w:tc>
        <w:tc>
          <w:tcPr>
            <w:tcW w:w="655" w:type="dxa"/>
            <w:vMerge w:val="continue"/>
          </w:tcPr>
          <w:p>
            <w:pPr>
              <w:jc w:val="center"/>
              <w:rPr>
                <w:bCs/>
                <w:szCs w:val="21"/>
              </w:rPr>
            </w:pPr>
          </w:p>
        </w:tc>
        <w:tc>
          <w:tcPr>
            <w:tcW w:w="2267" w:type="dxa"/>
            <w:vAlign w:val="center"/>
          </w:tcPr>
          <w:p>
            <w:pPr>
              <w:widowControl/>
              <w:jc w:val="left"/>
              <w:rPr>
                <w:bCs/>
                <w:szCs w:val="21"/>
                <w:highlight w:val="yellow"/>
              </w:rPr>
            </w:pPr>
            <w:r>
              <w:rPr>
                <w:rFonts w:hint="eastAsia" w:ascii="宋体" w:hAnsi="宋体"/>
                <w:szCs w:val="21"/>
              </w:rPr>
              <w:t>新生儿保暖箱</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bCs/>
                <w:szCs w:val="21"/>
              </w:rPr>
            </w:pPr>
            <w:r>
              <w:rPr>
                <w:rFonts w:hint="eastAsia" w:ascii="宋体" w:hAnsi="宋体" w:cs="宋体"/>
                <w:kern w:val="0"/>
                <w:szCs w:val="21"/>
              </w:rPr>
              <w:t>4</w:t>
            </w:r>
          </w:p>
        </w:tc>
        <w:tc>
          <w:tcPr>
            <w:tcW w:w="413" w:type="dxa"/>
            <w:vAlign w:val="center"/>
          </w:tcPr>
          <w:p>
            <w:pPr>
              <w:widowControl/>
              <w:jc w:val="center"/>
              <w:rPr>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bCs/>
                <w:szCs w:val="21"/>
              </w:rPr>
              <w:t>5</w:t>
            </w:r>
          </w:p>
        </w:tc>
        <w:tc>
          <w:tcPr>
            <w:tcW w:w="655" w:type="dxa"/>
            <w:vMerge w:val="continue"/>
          </w:tcPr>
          <w:p>
            <w:pPr>
              <w:jc w:val="center"/>
              <w:rPr>
                <w:bCs/>
                <w:szCs w:val="21"/>
              </w:rPr>
            </w:pPr>
          </w:p>
        </w:tc>
        <w:tc>
          <w:tcPr>
            <w:tcW w:w="2267" w:type="dxa"/>
            <w:vAlign w:val="center"/>
          </w:tcPr>
          <w:p>
            <w:pPr>
              <w:widowControl/>
              <w:jc w:val="left"/>
              <w:rPr>
                <w:bCs/>
                <w:szCs w:val="21"/>
                <w:highlight w:val="yellow"/>
              </w:rPr>
            </w:pPr>
            <w:r>
              <w:rPr>
                <w:rFonts w:hint="eastAsia" w:ascii="宋体" w:hAnsi="宋体"/>
                <w:kern w:val="0"/>
                <w:szCs w:val="21"/>
              </w:rPr>
              <w:t>新生儿亚低温治疗仪</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bCs/>
                <w:szCs w:val="21"/>
              </w:rPr>
            </w:pPr>
            <w:r>
              <w:rPr>
                <w:rFonts w:hint="eastAsia" w:ascii="宋体" w:hAnsi="宋体"/>
                <w:kern w:val="0"/>
                <w:szCs w:val="21"/>
              </w:rPr>
              <w:t>1</w:t>
            </w:r>
          </w:p>
        </w:tc>
        <w:tc>
          <w:tcPr>
            <w:tcW w:w="413" w:type="dxa"/>
            <w:vAlign w:val="center"/>
          </w:tcPr>
          <w:p>
            <w:pPr>
              <w:widowControl/>
              <w:jc w:val="center"/>
              <w:rPr>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Merge w:val="continue"/>
            <w:vAlign w:val="center"/>
          </w:tcPr>
          <w:p>
            <w:pPr>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rFonts w:hint="eastAsia" w:eastAsia="宋体"/>
                <w:bCs/>
                <w:szCs w:val="21"/>
                <w:lang w:val="en-US" w:eastAsia="zh-CN"/>
              </w:rPr>
            </w:pPr>
            <w:r>
              <w:rPr>
                <w:rFonts w:hint="eastAsia"/>
                <w:bCs/>
                <w:szCs w:val="21"/>
                <w:lang w:val="en-US" w:eastAsia="zh-CN"/>
              </w:rPr>
              <w:t>6</w:t>
            </w:r>
          </w:p>
        </w:tc>
        <w:tc>
          <w:tcPr>
            <w:tcW w:w="655" w:type="dxa"/>
          </w:tcPr>
          <w:p>
            <w:pPr>
              <w:jc w:val="center"/>
              <w:rPr>
                <w:bCs/>
                <w:szCs w:val="21"/>
              </w:rPr>
            </w:pPr>
          </w:p>
        </w:tc>
        <w:tc>
          <w:tcPr>
            <w:tcW w:w="2267" w:type="dxa"/>
            <w:vAlign w:val="center"/>
          </w:tcPr>
          <w:p>
            <w:pPr>
              <w:widowControl/>
              <w:jc w:val="left"/>
              <w:rPr>
                <w:rFonts w:hint="eastAsia" w:ascii="宋体" w:hAnsi="宋体"/>
                <w:bCs/>
                <w:szCs w:val="21"/>
              </w:rPr>
            </w:pPr>
            <w:r>
              <w:rPr>
                <w:rFonts w:hint="eastAsia" w:ascii="宋体" w:hAnsi="宋体" w:cs="宋体"/>
                <w:kern w:val="0"/>
                <w:szCs w:val="21"/>
              </w:rPr>
              <w:t>亚低温治疗仪</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rFonts w:hint="eastAsia"/>
                <w:bCs/>
                <w:szCs w:val="21"/>
              </w:rPr>
            </w:pPr>
            <w:r>
              <w:rPr>
                <w:rFonts w:hint="eastAsia" w:ascii="宋体" w:hAnsi="宋体" w:cs="宋体"/>
                <w:kern w:val="0"/>
                <w:szCs w:val="21"/>
              </w:rPr>
              <w:t>1</w:t>
            </w:r>
          </w:p>
        </w:tc>
        <w:tc>
          <w:tcPr>
            <w:tcW w:w="413" w:type="dxa"/>
            <w:vAlign w:val="center"/>
          </w:tcPr>
          <w:p>
            <w:pPr>
              <w:widowControl/>
              <w:jc w:val="center"/>
              <w:rPr>
                <w:rFonts w:hint="eastAsia"/>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Align w:val="center"/>
          </w:tcPr>
          <w:p>
            <w:pPr>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rFonts w:hint="eastAsia" w:eastAsia="宋体"/>
                <w:bCs/>
                <w:szCs w:val="21"/>
                <w:lang w:val="en-US" w:eastAsia="zh-CN"/>
              </w:rPr>
            </w:pPr>
            <w:r>
              <w:rPr>
                <w:rFonts w:hint="eastAsia"/>
                <w:bCs/>
                <w:szCs w:val="21"/>
                <w:lang w:val="en-US" w:eastAsia="zh-CN"/>
              </w:rPr>
              <w:t>7</w:t>
            </w:r>
          </w:p>
        </w:tc>
        <w:tc>
          <w:tcPr>
            <w:tcW w:w="655" w:type="dxa"/>
          </w:tcPr>
          <w:p>
            <w:pPr>
              <w:jc w:val="center"/>
              <w:rPr>
                <w:bCs/>
                <w:szCs w:val="21"/>
              </w:rPr>
            </w:pPr>
          </w:p>
        </w:tc>
        <w:tc>
          <w:tcPr>
            <w:tcW w:w="2267" w:type="dxa"/>
            <w:vAlign w:val="center"/>
          </w:tcPr>
          <w:p>
            <w:pPr>
              <w:widowControl/>
              <w:jc w:val="left"/>
              <w:rPr>
                <w:rFonts w:hint="eastAsia" w:ascii="宋体" w:hAnsi="宋体"/>
                <w:bCs/>
                <w:szCs w:val="21"/>
              </w:rPr>
            </w:pPr>
            <w:r>
              <w:rPr>
                <w:rFonts w:hint="eastAsia" w:ascii="宋体" w:hAnsi="宋体"/>
                <w:szCs w:val="21"/>
              </w:rPr>
              <w:t>盆底神经肌肉刺激治疗仪</w:t>
            </w:r>
          </w:p>
        </w:tc>
        <w:tc>
          <w:tcPr>
            <w:tcW w:w="780" w:type="dxa"/>
            <w:vAlign w:val="center"/>
          </w:tcPr>
          <w:p>
            <w:pPr>
              <w:jc w:val="center"/>
              <w:rPr>
                <w:bCs/>
                <w:szCs w:val="21"/>
              </w:rPr>
            </w:pPr>
          </w:p>
        </w:tc>
        <w:tc>
          <w:tcPr>
            <w:tcW w:w="680" w:type="dxa"/>
            <w:vAlign w:val="center"/>
          </w:tcPr>
          <w:p>
            <w:pPr>
              <w:jc w:val="center"/>
              <w:rPr>
                <w:bCs/>
                <w:szCs w:val="21"/>
              </w:rPr>
            </w:pPr>
          </w:p>
        </w:tc>
        <w:tc>
          <w:tcPr>
            <w:tcW w:w="807" w:type="dxa"/>
            <w:vAlign w:val="center"/>
          </w:tcPr>
          <w:p>
            <w:pPr>
              <w:jc w:val="center"/>
              <w:rPr>
                <w:bCs/>
                <w:szCs w:val="21"/>
              </w:rPr>
            </w:pPr>
          </w:p>
        </w:tc>
        <w:tc>
          <w:tcPr>
            <w:tcW w:w="513" w:type="dxa"/>
            <w:vAlign w:val="center"/>
          </w:tcPr>
          <w:p>
            <w:pPr>
              <w:widowControl/>
              <w:jc w:val="center"/>
              <w:rPr>
                <w:rFonts w:hint="eastAsia"/>
                <w:bCs/>
                <w:szCs w:val="21"/>
              </w:rPr>
            </w:pPr>
            <w:r>
              <w:rPr>
                <w:rFonts w:hint="eastAsia" w:ascii="宋体" w:hAnsi="宋体" w:cs="宋体"/>
                <w:kern w:val="0"/>
                <w:szCs w:val="21"/>
              </w:rPr>
              <w:t>1</w:t>
            </w:r>
          </w:p>
        </w:tc>
        <w:tc>
          <w:tcPr>
            <w:tcW w:w="413" w:type="dxa"/>
            <w:vAlign w:val="center"/>
          </w:tcPr>
          <w:p>
            <w:pPr>
              <w:widowControl/>
              <w:jc w:val="center"/>
              <w:rPr>
                <w:rFonts w:hint="eastAsia"/>
                <w:bCs/>
                <w:szCs w:val="21"/>
              </w:rPr>
            </w:pPr>
            <w:r>
              <w:rPr>
                <w:rFonts w:hint="eastAsia" w:ascii="宋体" w:hAnsi="宋体" w:cs="宋体"/>
                <w:szCs w:val="21"/>
              </w:rPr>
              <w:t>台/套</w:t>
            </w:r>
          </w:p>
        </w:tc>
        <w:tc>
          <w:tcPr>
            <w:tcW w:w="634" w:type="dxa"/>
            <w:vAlign w:val="center"/>
          </w:tcPr>
          <w:p>
            <w:pPr>
              <w:jc w:val="center"/>
              <w:rPr>
                <w:bCs/>
                <w:szCs w:val="21"/>
              </w:rPr>
            </w:pPr>
          </w:p>
        </w:tc>
        <w:tc>
          <w:tcPr>
            <w:tcW w:w="626" w:type="dxa"/>
            <w:vAlign w:val="center"/>
          </w:tcPr>
          <w:p>
            <w:pPr>
              <w:jc w:val="center"/>
              <w:rPr>
                <w:bCs/>
                <w:szCs w:val="21"/>
              </w:rPr>
            </w:pPr>
          </w:p>
        </w:tc>
        <w:tc>
          <w:tcPr>
            <w:tcW w:w="780" w:type="dxa"/>
            <w:vAlign w:val="center"/>
          </w:tcPr>
          <w:p>
            <w:pPr>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81" w:type="dxa"/>
            <w:gridSpan w:val="11"/>
          </w:tcPr>
          <w:p>
            <w:pPr>
              <w:rPr>
                <w:bCs/>
                <w:szCs w:val="21"/>
              </w:rPr>
            </w:pPr>
            <w:r>
              <w:rPr>
                <w:rFonts w:hint="eastAsia"/>
                <w:bCs/>
                <w:szCs w:val="21"/>
              </w:rPr>
              <w:t xml:space="preserve">合计（即投标总价；币种：人民币；单位：元） 小写：    </w:t>
            </w:r>
            <w:r>
              <w:rPr>
                <w:bCs/>
                <w:szCs w:val="21"/>
              </w:rPr>
              <w:t xml:space="preserve">       </w:t>
            </w:r>
            <w:r>
              <w:rPr>
                <w:rFonts w:hint="eastAsia"/>
                <w:bCs/>
                <w:szCs w:val="21"/>
              </w:rPr>
              <w:t>大写：</w:t>
            </w:r>
          </w:p>
        </w:tc>
      </w:tr>
    </w:tbl>
    <w:p>
      <w:pPr>
        <w:ind w:firstLine="482" w:firstLineChars="200"/>
        <w:rPr>
          <w:rFonts w:ascii="宋体" w:hAnsi="宋体"/>
          <w:b/>
          <w:sz w:val="24"/>
        </w:rPr>
      </w:pPr>
      <w:r>
        <w:rPr>
          <w:rFonts w:hint="eastAsia" w:ascii="宋体" w:hAnsi="宋体"/>
          <w:b/>
          <w:sz w:val="24"/>
        </w:rPr>
        <w:t>注：1.本表可按同样格式扩展。</w:t>
      </w:r>
    </w:p>
    <w:p>
      <w:pPr>
        <w:ind w:firstLine="472" w:firstLineChars="196"/>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 xml:space="preserve"> 如所投货物属于定制类的非量产货物或无具体品牌、型号的货物，可以在“规格/品牌/型号”一栏仅填写规格信息而不填写品牌、型号等信息（品牌、型号信息用“定制”描述即可）；</w:t>
      </w:r>
      <w:bookmarkStart w:id="64" w:name="_Hlk73646428"/>
      <w:r>
        <w:rPr>
          <w:rFonts w:hint="eastAsia" w:ascii="宋体" w:hAnsi="宋体"/>
          <w:b/>
          <w:sz w:val="24"/>
        </w:rPr>
        <w:t>此类填写错误（所投货物为定制类的非量产货物但供应商却错误填报了品牌、型号）的不利后果由供应商承担，</w:t>
      </w:r>
      <w:r>
        <w:rPr>
          <w:rFonts w:hint="eastAsia"/>
          <w:b/>
          <w:sz w:val="24"/>
        </w:rPr>
        <w:t>经评审委员会认定，在使用综合评分法的项目中一项此类填写错误将按照一项招标技术要求负偏离作处理。</w:t>
      </w:r>
      <w:bookmarkEnd w:id="64"/>
    </w:p>
    <w:p>
      <w:pPr>
        <w:ind w:firstLine="472" w:firstLineChars="196"/>
        <w:rPr>
          <w:rFonts w:ascii="宋体" w:hAnsi="宋体"/>
          <w:b/>
          <w:sz w:val="24"/>
        </w:rPr>
      </w:pPr>
      <w:r>
        <w:rPr>
          <w:rFonts w:ascii="宋体" w:hAnsi="宋体"/>
          <w:b/>
          <w:sz w:val="24"/>
        </w:rPr>
        <w:t>3</w:t>
      </w:r>
      <w:r>
        <w:rPr>
          <w:rFonts w:hint="eastAsia" w:ascii="宋体" w:hAnsi="宋体"/>
          <w:b/>
          <w:sz w:val="24"/>
        </w:rPr>
        <w:t>.</w:t>
      </w:r>
      <w:bookmarkStart w:id="65" w:name="_Hlk72074795"/>
      <w:r>
        <w:rPr>
          <w:rFonts w:hint="eastAsia" w:ascii="宋体" w:hAnsi="宋体"/>
          <w:b/>
          <w:sz w:val="24"/>
        </w:rPr>
        <w:t>“原产地”是指该货物的实际生产加工地，而非品牌总公司所在地</w:t>
      </w:r>
      <w:bookmarkEnd w:id="65"/>
      <w:r>
        <w:rPr>
          <w:rFonts w:hint="eastAsia" w:ascii="宋体" w:hAnsi="宋体"/>
          <w:b/>
          <w:sz w:val="24"/>
        </w:rPr>
        <w:t>。</w:t>
      </w:r>
    </w:p>
    <w:p>
      <w:pPr>
        <w:ind w:firstLine="472" w:firstLineChars="196"/>
        <w:rPr>
          <w:rFonts w:ascii="宋体" w:hAnsi="宋体"/>
          <w:b/>
          <w:sz w:val="24"/>
        </w:rPr>
      </w:pPr>
      <w:r>
        <w:rPr>
          <w:rFonts w:ascii="宋体" w:hAnsi="宋体"/>
          <w:b/>
          <w:sz w:val="24"/>
        </w:rPr>
        <w:t>4</w:t>
      </w:r>
      <w:r>
        <w:rPr>
          <w:rFonts w:hint="eastAsia" w:ascii="宋体" w:hAnsi="宋体"/>
          <w:b/>
          <w:sz w:val="24"/>
        </w:rPr>
        <w:t>.所投货物均应填写制造商名称。</w:t>
      </w:r>
    </w:p>
    <w:p>
      <w:pPr>
        <w:ind w:firstLine="482" w:firstLineChars="200"/>
        <w:rPr>
          <w:rFonts w:ascii="宋体" w:hAnsi="宋体"/>
          <w:b/>
          <w:sz w:val="24"/>
        </w:rPr>
      </w:pPr>
      <w:r>
        <w:rPr>
          <w:rFonts w:ascii="宋体" w:hAnsi="宋体"/>
          <w:b/>
          <w:sz w:val="24"/>
        </w:rPr>
        <w:t>5</w:t>
      </w:r>
      <w:r>
        <w:rPr>
          <w:rFonts w:hint="eastAsia" w:ascii="宋体" w:hAnsi="宋体"/>
          <w:b/>
          <w:sz w:val="24"/>
        </w:rPr>
        <w:t>.以上分项报价表的投标总价应当与开标一览表的投标总价一致。</w:t>
      </w:r>
    </w:p>
    <w:p>
      <w:pPr>
        <w:ind w:firstLine="482" w:firstLineChars="200"/>
        <w:rPr>
          <w:rFonts w:ascii="宋体" w:hAnsi="宋体"/>
          <w:b/>
          <w:sz w:val="24"/>
        </w:rPr>
      </w:pPr>
      <w:r>
        <w:rPr>
          <w:rFonts w:ascii="宋体" w:hAnsi="宋体"/>
          <w:b/>
          <w:sz w:val="24"/>
        </w:rPr>
        <w:t>6</w:t>
      </w:r>
      <w:r>
        <w:rPr>
          <w:rFonts w:hint="eastAsia" w:ascii="宋体" w:hAnsi="宋体"/>
          <w:b/>
          <w:sz w:val="24"/>
        </w:rPr>
        <w:t>.单价、合价和投标总价为包干价，即三者均应包含货物的价款、包装、运输、装卸、安装、调试、技术指导、培训、咨询、服务、保险、税费、检测、验收合格交付使用之前以及技术和售后服务等其他各项有关费用。</w:t>
      </w:r>
    </w:p>
    <w:p>
      <w:pPr>
        <w:ind w:firstLine="482" w:firstLineChars="200"/>
        <w:rPr>
          <w:rFonts w:ascii="宋体" w:hAnsi="宋体"/>
          <w:b/>
          <w:sz w:val="24"/>
        </w:rPr>
      </w:pPr>
      <w:r>
        <w:rPr>
          <w:rFonts w:ascii="宋体" w:hAnsi="宋体"/>
          <w:b/>
          <w:sz w:val="24"/>
        </w:rPr>
        <w:t>7</w:t>
      </w:r>
      <w:r>
        <w:rPr>
          <w:rFonts w:hint="eastAsia" w:ascii="宋体" w:hAnsi="宋体"/>
          <w:b/>
          <w:sz w:val="24"/>
        </w:rPr>
        <w:t>.所有价格应按“招标文件”中规定的货币单位填写；投标总价应为以上各分项价格之和；投标总价和项目报价表中单个采购预算条目报价均不得超过对应的财政预算限额，否则将导致投标无效。</w:t>
      </w:r>
    </w:p>
    <w:p>
      <w:pPr>
        <w:ind w:firstLine="482" w:firstLineChars="200"/>
        <w:rPr>
          <w:rFonts w:ascii="宋体" w:hAnsi="宋体"/>
          <w:b/>
          <w:color w:val="FF0000"/>
          <w:sz w:val="24"/>
        </w:rPr>
      </w:pPr>
    </w:p>
    <w:p>
      <w:pPr>
        <w:ind w:firstLine="482" w:firstLineChars="200"/>
        <w:rPr>
          <w:rFonts w:ascii="宋体" w:hAnsi="宋体"/>
          <w:b/>
          <w:color w:val="FF0000"/>
          <w:sz w:val="24"/>
        </w:rPr>
      </w:pPr>
    </w:p>
    <w:p>
      <w:pPr>
        <w:tabs>
          <w:tab w:val="left" w:pos="720"/>
        </w:tabs>
        <w:jc w:val="center"/>
        <w:rPr>
          <w:b/>
          <w:sz w:val="24"/>
        </w:rPr>
      </w:pPr>
      <w:r>
        <w:rPr>
          <w:rFonts w:hint="eastAsia"/>
          <w:b/>
          <w:sz w:val="24"/>
        </w:rPr>
        <w:t>（二）核心产品品牌</w:t>
      </w:r>
    </w:p>
    <w:p>
      <w:pPr>
        <w:ind w:firstLine="482" w:firstLineChars="200"/>
        <w:rPr>
          <w:rFonts w:ascii="宋体" w:hAnsi="宋体"/>
          <w:b/>
          <w:color w:val="FF0000"/>
          <w:sz w:val="24"/>
        </w:rPr>
      </w:pPr>
    </w:p>
    <w:p>
      <w:pPr>
        <w:ind w:firstLine="482" w:firstLineChars="200"/>
        <w:rPr>
          <w:rFonts w:ascii="宋体" w:hAnsi="宋体"/>
          <w:b/>
          <w:sz w:val="24"/>
        </w:rPr>
      </w:pPr>
      <w:r>
        <w:rPr>
          <w:rFonts w:hint="eastAsia"/>
          <w:b/>
          <w:sz w:val="24"/>
        </w:rPr>
        <w:t>我单位所投核心产品的品牌为：</w:t>
      </w:r>
      <w:r>
        <w:rPr>
          <w:rFonts w:hint="eastAsia"/>
          <w:b/>
          <w:sz w:val="24"/>
          <w:u w:val="single"/>
        </w:rPr>
        <w:t xml:space="preserve">               </w:t>
      </w:r>
      <w:r>
        <w:rPr>
          <w:rFonts w:hint="eastAsia"/>
          <w:b/>
          <w:sz w:val="24"/>
        </w:rPr>
        <w:t>。</w:t>
      </w:r>
    </w:p>
    <w:p>
      <w:pPr>
        <w:ind w:firstLine="482" w:firstLineChars="200"/>
        <w:rPr>
          <w:rFonts w:ascii="宋体" w:hAnsi="宋体"/>
          <w:b/>
          <w:color w:val="FF0000"/>
          <w:sz w:val="24"/>
        </w:rPr>
      </w:pPr>
    </w:p>
    <w:p>
      <w:pPr>
        <w:ind w:firstLine="480" w:firstLineChars="200"/>
        <w:rPr>
          <w:rFonts w:ascii="宋体" w:hAnsi="宋体"/>
          <w:sz w:val="24"/>
        </w:rPr>
      </w:pPr>
      <w:r>
        <w:rPr>
          <w:rFonts w:hint="eastAsia" w:ascii="宋体" w:hAnsi="宋体"/>
          <w:sz w:val="24"/>
        </w:rPr>
        <w:t>备注：招标文件未列明核心产品的，无需填写该项。</w:t>
      </w:r>
    </w:p>
    <w:p>
      <w:pPr>
        <w:ind w:firstLine="482" w:firstLineChars="200"/>
        <w:rPr>
          <w:rFonts w:ascii="宋体" w:hAnsi="宋体"/>
          <w:b/>
          <w:color w:val="FF0000"/>
          <w:sz w:val="24"/>
        </w:rPr>
      </w:pPr>
    </w:p>
    <w:p>
      <w:pPr>
        <w:rPr>
          <w:b/>
          <w:sz w:val="24"/>
        </w:rPr>
      </w:pPr>
    </w:p>
    <w:p>
      <w:pPr>
        <w:tabs>
          <w:tab w:val="left" w:pos="720"/>
        </w:tabs>
        <w:ind w:firstLine="1928" w:firstLineChars="800"/>
        <w:rPr>
          <w:b/>
          <w:sz w:val="24"/>
        </w:rPr>
      </w:pPr>
      <w:r>
        <w:rPr>
          <w:rFonts w:hint="eastAsia"/>
          <w:b/>
          <w:sz w:val="24"/>
        </w:rPr>
        <w:t>（三）可选配件报价清单（不包括在总报价内）</w:t>
      </w:r>
    </w:p>
    <w:p>
      <w:pPr>
        <w:ind w:firstLine="422" w:firstLineChars="200"/>
        <w:rPr>
          <w:rFonts w:hAnsi="宋体"/>
          <w:b/>
          <w:bCs/>
          <w:szCs w:val="21"/>
        </w:rPr>
      </w:pPr>
      <w:r>
        <w:rPr>
          <w:rFonts w:hint="eastAsia" w:hAnsi="宋体"/>
          <w:b/>
          <w:bCs/>
          <w:szCs w:val="21"/>
        </w:rPr>
        <w:t>注：格式可以参照《（一）分项报价表》表格，并提供相应的品牌/规格/型号、原产地、制造商信息（没有品牌、型号的，用“定制”描述即可）、单价等详细信息</w:t>
      </w:r>
    </w:p>
    <w:p>
      <w:pPr>
        <w:ind w:firstLine="482" w:firstLineChars="200"/>
        <w:rPr>
          <w:rFonts w:hAnsi="宋体"/>
          <w:b/>
          <w:bCs/>
          <w:sz w:val="24"/>
        </w:rPr>
      </w:pPr>
    </w:p>
    <w:p>
      <w:pPr>
        <w:ind w:firstLine="482" w:firstLineChars="200"/>
        <w:rPr>
          <w:rFonts w:hAnsi="宋体"/>
          <w:b/>
          <w:bCs/>
          <w:sz w:val="24"/>
        </w:rPr>
      </w:pPr>
    </w:p>
    <w:p>
      <w:pPr>
        <w:tabs>
          <w:tab w:val="left" w:pos="720"/>
        </w:tabs>
        <w:jc w:val="center"/>
        <w:rPr>
          <w:rFonts w:hint="eastAsia"/>
          <w:b/>
          <w:sz w:val="24"/>
        </w:rPr>
      </w:pPr>
      <w:r>
        <w:rPr>
          <w:rFonts w:hint="eastAsia"/>
          <w:b/>
          <w:sz w:val="24"/>
        </w:rPr>
        <w:t>（四）</w:t>
      </w:r>
      <w:bookmarkStart w:id="66" w:name="_Hlk72073235"/>
      <w:r>
        <w:rPr>
          <w:rFonts w:hint="eastAsia"/>
          <w:b/>
          <w:sz w:val="24"/>
        </w:rPr>
        <w:t>投标人认为需要涉及的其他内容报价清单</w:t>
      </w:r>
      <w:bookmarkEnd w:id="66"/>
    </w:p>
    <w:p>
      <w:pPr>
        <w:pStyle w:val="4"/>
        <w:jc w:val="center"/>
        <w:outlineLvl w:val="2"/>
      </w:pPr>
      <w:r>
        <w:rPr>
          <w:rFonts w:hint="eastAsia" w:ascii="微软雅黑" w:hAnsi="微软雅黑" w:eastAsia="微软雅黑"/>
          <w:lang w:eastAsia="zh-CN"/>
        </w:rPr>
        <w:t>五、</w:t>
      </w:r>
      <w:r>
        <w:rPr>
          <w:rFonts w:hint="eastAsia" w:ascii="微软雅黑" w:hAnsi="微软雅黑" w:eastAsia="微软雅黑"/>
        </w:rPr>
        <w:t>货物说明一览表</w:t>
      </w:r>
    </w:p>
    <w:p>
      <w:pPr>
        <w:spacing w:line="360" w:lineRule="auto"/>
        <w:ind w:firstLine="480" w:firstLineChars="200"/>
        <w:outlineLvl w:val="9"/>
        <w:rPr>
          <w:rFonts w:ascii="宋体" w:hAnsi="宋体"/>
          <w:b/>
          <w:sz w:val="24"/>
          <w:u w:val="none"/>
        </w:rPr>
      </w:pPr>
      <w:r>
        <w:rPr>
          <w:rFonts w:hint="eastAsia" w:ascii="宋体" w:hAnsi="宋体"/>
          <w:sz w:val="24"/>
          <w:u w:val="none"/>
        </w:rPr>
        <w:t>1.超声切割止血系统</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940"/>
        <w:gridCol w:w="160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294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主机发生器</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脚控开关</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静音车架</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转接头</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剪式刀头换能手柄</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枪式刀头换能手柄</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7</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同品牌枪式开放超声刀头（可凝闭不超过5mm脉管）</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4</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把</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vAlign w:val="center"/>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8</w:t>
            </w:r>
          </w:p>
        </w:tc>
        <w:tc>
          <w:tcPr>
            <w:tcW w:w="2940" w:type="dxa"/>
            <w:vAlign w:val="center"/>
          </w:tcPr>
          <w:p>
            <w:pPr>
              <w:jc w:val="left"/>
              <w:rPr>
                <w:sz w:val="21"/>
                <w:szCs w:val="21"/>
              </w:rPr>
            </w:pPr>
            <w:r>
              <w:rPr>
                <w:rFonts w:hint="eastAsia"/>
              </w:rPr>
              <w:t>同品牌枪式腔镜超声刀头（可凝闭不超过5mm脉管）</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8</w:t>
            </w:r>
          </w:p>
        </w:tc>
        <w:tc>
          <w:tcPr>
            <w:tcW w:w="996" w:type="dxa"/>
            <w:vAlign w:val="center"/>
          </w:tcPr>
          <w:p>
            <w:pPr>
              <w:jc w:val="center"/>
              <w:rPr>
                <w:sz w:val="21"/>
                <w:szCs w:val="21"/>
              </w:rPr>
            </w:pPr>
            <w:r>
              <w:rPr>
                <w:rFonts w:hint="eastAsia"/>
              </w:rPr>
              <w:t>把</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vAlign w:val="center"/>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9</w:t>
            </w:r>
          </w:p>
        </w:tc>
        <w:tc>
          <w:tcPr>
            <w:tcW w:w="2940" w:type="dxa"/>
            <w:vAlign w:val="center"/>
          </w:tcPr>
          <w:p>
            <w:pPr>
              <w:jc w:val="left"/>
              <w:rPr>
                <w:sz w:val="21"/>
                <w:szCs w:val="21"/>
              </w:rPr>
            </w:pPr>
            <w:r>
              <w:rPr>
                <w:rFonts w:hint="eastAsia"/>
              </w:rPr>
              <w:t>同品牌剪式开放超声刀头（可凝闭不超过5mm脉管）</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3</w:t>
            </w:r>
          </w:p>
        </w:tc>
        <w:tc>
          <w:tcPr>
            <w:tcW w:w="996" w:type="dxa"/>
            <w:vAlign w:val="center"/>
          </w:tcPr>
          <w:p>
            <w:pPr>
              <w:jc w:val="center"/>
              <w:rPr>
                <w:sz w:val="21"/>
                <w:szCs w:val="21"/>
              </w:rPr>
            </w:pPr>
            <w:r>
              <w:rPr>
                <w:rFonts w:hint="eastAsia"/>
              </w:rPr>
              <w:t>把</w:t>
            </w:r>
          </w:p>
        </w:tc>
        <w:tc>
          <w:tcPr>
            <w:tcW w:w="853" w:type="dxa"/>
          </w:tcPr>
          <w:p>
            <w:pPr>
              <w:jc w:val="center"/>
              <w:rPr>
                <w:rFonts w:hint="eastAsia" w:ascii="宋体" w:hAnsi="宋体"/>
                <w:bCs/>
                <w:caps/>
                <w:sz w:val="21"/>
                <w:szCs w:val="21"/>
              </w:rPr>
            </w:pPr>
          </w:p>
        </w:tc>
      </w:tr>
    </w:tbl>
    <w:p>
      <w:pPr>
        <w:rPr>
          <w:rFonts w:hint="eastAsia" w:eastAsiaTheme="minorEastAsia"/>
          <w:lang w:eastAsia="zh-CN"/>
        </w:rPr>
      </w:pPr>
    </w:p>
    <w:p>
      <w:pPr>
        <w:numPr>
          <w:ilvl w:val="0"/>
          <w:numId w:val="0"/>
        </w:numPr>
        <w:spacing w:line="360" w:lineRule="auto"/>
        <w:ind w:firstLine="480" w:firstLineChars="200"/>
        <w:rPr>
          <w:rFonts w:hint="eastAsia" w:ascii="仿宋" w:hAnsi="仿宋"/>
          <w:bCs/>
          <w:sz w:val="24"/>
          <w:u w:val="none"/>
        </w:rPr>
      </w:pPr>
      <w:r>
        <w:rPr>
          <w:rFonts w:hint="eastAsia" w:ascii="仿宋" w:hAnsi="仿宋"/>
          <w:bCs/>
          <w:sz w:val="24"/>
          <w:u w:val="none"/>
          <w:lang w:val="en-US" w:eastAsia="zh-CN"/>
        </w:rPr>
        <w:t>2.</w:t>
      </w:r>
      <w:r>
        <w:rPr>
          <w:rFonts w:hint="eastAsia" w:ascii="仿宋" w:hAnsi="仿宋"/>
          <w:bCs/>
          <w:sz w:val="24"/>
          <w:u w:val="none"/>
        </w:rPr>
        <w:t>电外科能量平台（高频电外科手术系统）</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940"/>
        <w:gridCol w:w="160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294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能量平台主机</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双脚踏开关</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腔镜大血管闭合钳</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把</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大血管闭合系统软件</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套</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腔镜双极电切电凝剪</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把</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双极连线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根</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7</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大血管闭合离断刀</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把</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8</w:t>
            </w:r>
          </w:p>
        </w:tc>
        <w:tc>
          <w:tcPr>
            <w:tcW w:w="2940" w:type="dxa"/>
            <w:vAlign w:val="center"/>
          </w:tcPr>
          <w:p>
            <w:pPr>
              <w:jc w:val="left"/>
              <w:rPr>
                <w:sz w:val="21"/>
                <w:szCs w:val="21"/>
              </w:rPr>
            </w:pPr>
            <w:r>
              <w:rPr>
                <w:rFonts w:hint="eastAsia"/>
              </w:rPr>
              <w:t>双极电凝电切系统软件</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套</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9</w:t>
            </w:r>
          </w:p>
        </w:tc>
        <w:tc>
          <w:tcPr>
            <w:tcW w:w="2940" w:type="dxa"/>
            <w:vAlign w:val="center"/>
          </w:tcPr>
          <w:p>
            <w:pPr>
              <w:jc w:val="left"/>
              <w:rPr>
                <w:sz w:val="21"/>
                <w:szCs w:val="21"/>
              </w:rPr>
            </w:pPr>
            <w:r>
              <w:rPr>
                <w:rFonts w:hint="eastAsia"/>
              </w:rPr>
              <w:t>等离子电切系统软件</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套</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10</w:t>
            </w:r>
          </w:p>
        </w:tc>
        <w:tc>
          <w:tcPr>
            <w:tcW w:w="2940" w:type="dxa"/>
            <w:vAlign w:val="center"/>
          </w:tcPr>
          <w:p>
            <w:pPr>
              <w:jc w:val="left"/>
              <w:rPr>
                <w:sz w:val="21"/>
                <w:szCs w:val="21"/>
              </w:rPr>
            </w:pPr>
            <w:r>
              <w:rPr>
                <w:rFonts w:hint="eastAsia"/>
              </w:rPr>
              <w:t>等离子连接线</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根</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11</w:t>
            </w:r>
          </w:p>
        </w:tc>
        <w:tc>
          <w:tcPr>
            <w:tcW w:w="2940" w:type="dxa"/>
            <w:vAlign w:val="center"/>
          </w:tcPr>
          <w:p>
            <w:pPr>
              <w:jc w:val="left"/>
              <w:rPr>
                <w:sz w:val="21"/>
                <w:szCs w:val="21"/>
              </w:rPr>
            </w:pPr>
            <w:r>
              <w:rPr>
                <w:rFonts w:hint="eastAsia"/>
              </w:rPr>
              <w:t>负极板连接线</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根</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12</w:t>
            </w:r>
          </w:p>
        </w:tc>
        <w:tc>
          <w:tcPr>
            <w:tcW w:w="2940" w:type="dxa"/>
            <w:vAlign w:val="center"/>
          </w:tcPr>
          <w:p>
            <w:pPr>
              <w:jc w:val="left"/>
              <w:rPr>
                <w:sz w:val="21"/>
                <w:szCs w:val="21"/>
              </w:rPr>
            </w:pPr>
            <w:r>
              <w:rPr>
                <w:rFonts w:hint="eastAsia"/>
              </w:rPr>
              <w:t>台车</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台</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13</w:t>
            </w:r>
          </w:p>
        </w:tc>
        <w:tc>
          <w:tcPr>
            <w:tcW w:w="2940" w:type="dxa"/>
            <w:vAlign w:val="center"/>
          </w:tcPr>
          <w:p>
            <w:pPr>
              <w:jc w:val="left"/>
              <w:rPr>
                <w:sz w:val="21"/>
                <w:szCs w:val="21"/>
              </w:rPr>
            </w:pPr>
            <w:r>
              <w:rPr>
                <w:rFonts w:hint="eastAsia"/>
              </w:rPr>
              <w:t>负极片</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200</w:t>
            </w:r>
          </w:p>
        </w:tc>
        <w:tc>
          <w:tcPr>
            <w:tcW w:w="996" w:type="dxa"/>
            <w:vAlign w:val="center"/>
          </w:tcPr>
          <w:p>
            <w:pPr>
              <w:jc w:val="center"/>
              <w:rPr>
                <w:sz w:val="21"/>
                <w:szCs w:val="21"/>
              </w:rPr>
            </w:pPr>
            <w:r>
              <w:rPr>
                <w:rFonts w:hint="eastAsia"/>
              </w:rPr>
              <w:t>片</w:t>
            </w:r>
          </w:p>
        </w:tc>
        <w:tc>
          <w:tcPr>
            <w:tcW w:w="853" w:type="dxa"/>
          </w:tcPr>
          <w:p>
            <w:pPr>
              <w:jc w:val="center"/>
              <w:rPr>
                <w:rFonts w:hint="eastAsia" w:ascii="宋体" w:hAnsi="宋体"/>
                <w:bCs/>
                <w:caps/>
                <w:sz w:val="21"/>
                <w:szCs w:val="21"/>
              </w:rPr>
            </w:pPr>
          </w:p>
        </w:tc>
      </w:tr>
    </w:tbl>
    <w:p>
      <w:pPr>
        <w:rPr>
          <w:rFonts w:hint="eastAsia"/>
          <w:lang w:eastAsia="zh-CN"/>
        </w:rPr>
      </w:pPr>
    </w:p>
    <w:p>
      <w:pPr>
        <w:spacing w:line="360" w:lineRule="auto"/>
        <w:ind w:firstLine="480" w:firstLineChars="200"/>
        <w:outlineLvl w:val="9"/>
        <w:rPr>
          <w:rFonts w:ascii="宋体" w:hAnsi="宋体"/>
          <w:b/>
          <w:sz w:val="24"/>
          <w:u w:val="none"/>
        </w:rPr>
      </w:pPr>
      <w:r>
        <w:rPr>
          <w:rFonts w:hint="eastAsia" w:ascii="宋体" w:hAnsi="宋体"/>
          <w:sz w:val="24"/>
          <w:u w:val="none"/>
        </w:rPr>
        <w:t>3.血液回收仪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156"/>
        <w:gridCol w:w="1392"/>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315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自体血连续回输系统</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血液存储器支架</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中文操作说明书</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本</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电源线</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根</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一次性使用吸引管</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3</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根</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一次性使用储血罐（带过滤器）</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3</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套</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7</w:t>
            </w:r>
          </w:p>
        </w:tc>
        <w:tc>
          <w:tcPr>
            <w:tcW w:w="31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一次性使用自体回输装置</w:t>
            </w:r>
          </w:p>
        </w:tc>
        <w:tc>
          <w:tcPr>
            <w:tcW w:w="139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3</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套</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bl>
    <w:p>
      <w:pPr>
        <w:spacing w:line="360" w:lineRule="auto"/>
        <w:ind w:firstLine="480" w:firstLineChars="200"/>
        <w:outlineLvl w:val="9"/>
        <w:rPr>
          <w:rFonts w:hint="eastAsia" w:ascii="宋体" w:hAnsi="宋体"/>
          <w:sz w:val="24"/>
          <w:u w:val="none"/>
        </w:rPr>
      </w:pPr>
      <w:r>
        <w:rPr>
          <w:rFonts w:hint="eastAsia" w:ascii="宋体" w:hAnsi="宋体"/>
          <w:sz w:val="24"/>
          <w:u w:val="none"/>
        </w:rPr>
        <w:t>4.新生儿保暖箱（每台）</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940"/>
        <w:gridCol w:w="160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294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szCs w:val="20"/>
              </w:rPr>
              <w:t>主机</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szCs w:val="20"/>
              </w:rPr>
              <w:t>体温探头/体表/儿童/新生儿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szCs w:val="20"/>
              </w:rPr>
              <w:t>蓝光治疗仪</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szCs w:val="20"/>
              </w:rPr>
              <w:t>国标电源线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szCs w:val="20"/>
              </w:rPr>
              <w:t>过滤棉</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5</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rPr>
              <w:t>操作手册说明书</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套</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7</w:t>
            </w:r>
          </w:p>
        </w:tc>
        <w:tc>
          <w:tcPr>
            <w:tcW w:w="2940"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sz w:val="21"/>
                <w:szCs w:val="21"/>
              </w:rPr>
            </w:pPr>
            <w:r>
              <w:rPr>
                <w:rFonts w:hint="eastAsia"/>
                <w:szCs w:val="20"/>
              </w:rPr>
              <w:t>保修卡</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份</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bl>
    <w:p>
      <w:pPr>
        <w:spacing w:line="360" w:lineRule="auto"/>
        <w:ind w:firstLine="480" w:firstLineChars="200"/>
        <w:outlineLvl w:val="9"/>
        <w:rPr>
          <w:rFonts w:hint="eastAsia" w:ascii="宋体" w:hAnsi="宋体"/>
          <w:sz w:val="24"/>
          <w:u w:val="none"/>
        </w:rPr>
      </w:pPr>
    </w:p>
    <w:p>
      <w:pPr>
        <w:spacing w:line="360" w:lineRule="auto"/>
        <w:ind w:firstLine="480" w:firstLineChars="200"/>
        <w:outlineLvl w:val="9"/>
        <w:rPr>
          <w:rFonts w:hint="eastAsia" w:ascii="宋体" w:hAnsi="宋体" w:eastAsia="宋体"/>
          <w:sz w:val="24"/>
          <w:u w:val="none"/>
          <w:lang w:val="en-US" w:eastAsia="zh-CN"/>
        </w:rPr>
      </w:pPr>
      <w:r>
        <w:rPr>
          <w:rFonts w:hint="eastAsia" w:ascii="宋体" w:hAnsi="宋体"/>
          <w:sz w:val="24"/>
          <w:u w:val="none"/>
        </w:rPr>
        <w:t>5.新生儿亚低温治疗仪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180"/>
        <w:gridCol w:w="136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318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医用高—低温体温控制系统主机</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温度传感器</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聚氨酯水毯 （婴儿）</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耐用无纺水毯 （婴儿）</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耐用无纺水帽（婴儿）</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耐用无纺水毯连接管</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bl>
    <w:p>
      <w:pPr>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6.亚低温治疗仪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180"/>
        <w:gridCol w:w="136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318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医用高—低温体温控制系统主机</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温度传感器</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聚氨酯水毯 （儿童）</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聚氨酯水毯（成人）</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318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耐用无纺水毯连接管</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bl>
    <w:p>
      <w:pPr>
        <w:pStyle w:val="2"/>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7.盆底神经肌肉刺激治疗仪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940"/>
        <w:gridCol w:w="1608"/>
        <w:gridCol w:w="1440"/>
        <w:gridCol w:w="960"/>
        <w:gridCol w:w="9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b/>
                <w:bCs/>
                <w:sz w:val="21"/>
                <w:szCs w:val="21"/>
              </w:rPr>
              <w:t>序号</w:t>
            </w:r>
          </w:p>
        </w:tc>
        <w:tc>
          <w:tcPr>
            <w:tcW w:w="2940"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b/>
                <w:bCs/>
                <w:sz w:val="21"/>
                <w:szCs w:val="21"/>
              </w:rPr>
              <w:t>货物名称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规格/型号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品牌</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aps/>
                <w:sz w:val="21"/>
                <w:szCs w:val="21"/>
              </w:rPr>
            </w:pPr>
            <w:r>
              <w:rPr>
                <w:rFonts w:hint="eastAsia" w:ascii="宋体" w:hAnsi="宋体"/>
                <w:b/>
                <w:bCs/>
                <w:caps/>
                <w:sz w:val="21"/>
                <w:szCs w:val="21"/>
              </w:rPr>
              <w:t>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b/>
                <w:bCs/>
                <w:sz w:val="21"/>
                <w:szCs w:val="21"/>
              </w:rPr>
            </w:pPr>
            <w:r>
              <w:rPr>
                <w:rFonts w:hint="eastAsia" w:ascii="宋体" w:hAnsi="宋体"/>
                <w:b/>
                <w:bCs/>
                <w:caps/>
                <w:sz w:val="21"/>
                <w:szCs w:val="21"/>
              </w:rPr>
              <w:t>单位</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ap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1</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治疗仪主机</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台</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2</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软件包</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套</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3</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电源转换器</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个</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4</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电源连接线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5</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治疗头连接线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bCs/>
                <w:caps/>
                <w:sz w:val="21"/>
                <w:szCs w:val="21"/>
                <w:lang w:val="en-US" w:eastAsia="zh-CN"/>
              </w:rPr>
            </w:pPr>
            <w:r>
              <w:rPr>
                <w:rFonts w:hint="eastAsia" w:ascii="宋体" w:hAnsi="宋体"/>
                <w:bCs/>
                <w:caps/>
                <w:sz w:val="21"/>
                <w:szCs w:val="21"/>
                <w:lang w:val="en-US" w:eastAsia="zh-CN"/>
              </w:rPr>
              <w:t>6</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盆底肌肉治疗头</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10</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盒</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7</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r>
              <w:rPr>
                <w:rFonts w:hint="eastAsia"/>
              </w:rPr>
              <w:t>输出端口导联线</w:t>
            </w:r>
          </w:p>
        </w:tc>
        <w:tc>
          <w:tcPr>
            <w:tcW w:w="160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aps/>
                <w:sz w:val="21"/>
                <w:szCs w:val="21"/>
              </w:rPr>
            </w:pPr>
            <w:r>
              <w:rPr>
                <w:rFonts w:hint="eastAsia"/>
              </w:rPr>
              <w:t>9</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rPr>
              <w:t>条</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8</w:t>
            </w:r>
          </w:p>
        </w:tc>
        <w:tc>
          <w:tcPr>
            <w:tcW w:w="2940" w:type="dxa"/>
            <w:vAlign w:val="center"/>
          </w:tcPr>
          <w:p>
            <w:pPr>
              <w:jc w:val="left"/>
              <w:rPr>
                <w:sz w:val="21"/>
                <w:szCs w:val="21"/>
              </w:rPr>
            </w:pPr>
            <w:r>
              <w:rPr>
                <w:rFonts w:hint="eastAsia"/>
              </w:rPr>
              <w:t>电极片</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2</w:t>
            </w:r>
          </w:p>
        </w:tc>
        <w:tc>
          <w:tcPr>
            <w:tcW w:w="996" w:type="dxa"/>
            <w:vAlign w:val="center"/>
          </w:tcPr>
          <w:p>
            <w:pPr>
              <w:jc w:val="center"/>
              <w:rPr>
                <w:sz w:val="21"/>
                <w:szCs w:val="21"/>
              </w:rPr>
            </w:pPr>
            <w:r>
              <w:rPr>
                <w:rFonts w:hint="eastAsia"/>
              </w:rPr>
              <w:t>袋</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9</w:t>
            </w:r>
          </w:p>
        </w:tc>
        <w:tc>
          <w:tcPr>
            <w:tcW w:w="2940" w:type="dxa"/>
            <w:vAlign w:val="center"/>
          </w:tcPr>
          <w:p>
            <w:pPr>
              <w:jc w:val="left"/>
              <w:rPr>
                <w:sz w:val="21"/>
                <w:szCs w:val="21"/>
              </w:rPr>
            </w:pPr>
            <w:r>
              <w:rPr>
                <w:rFonts w:hint="eastAsia"/>
              </w:rPr>
              <w:t>USB连接线</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条</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10</w:t>
            </w:r>
          </w:p>
        </w:tc>
        <w:tc>
          <w:tcPr>
            <w:tcW w:w="2940" w:type="dxa"/>
            <w:vAlign w:val="center"/>
          </w:tcPr>
          <w:p>
            <w:pPr>
              <w:jc w:val="left"/>
              <w:rPr>
                <w:sz w:val="21"/>
                <w:szCs w:val="21"/>
              </w:rPr>
            </w:pPr>
            <w:r>
              <w:rPr>
                <w:rFonts w:hint="eastAsia"/>
              </w:rPr>
              <w:t>治疗仪使用手册</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本</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11</w:t>
            </w:r>
          </w:p>
        </w:tc>
        <w:tc>
          <w:tcPr>
            <w:tcW w:w="2940" w:type="dxa"/>
            <w:vAlign w:val="center"/>
          </w:tcPr>
          <w:p>
            <w:pPr>
              <w:jc w:val="left"/>
              <w:rPr>
                <w:sz w:val="21"/>
                <w:szCs w:val="21"/>
              </w:rPr>
            </w:pPr>
            <w:r>
              <w:rPr>
                <w:rFonts w:hint="eastAsia"/>
              </w:rPr>
              <w:t>计算机</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台</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12</w:t>
            </w:r>
          </w:p>
        </w:tc>
        <w:tc>
          <w:tcPr>
            <w:tcW w:w="2940" w:type="dxa"/>
            <w:vAlign w:val="center"/>
          </w:tcPr>
          <w:p>
            <w:pPr>
              <w:jc w:val="left"/>
              <w:rPr>
                <w:sz w:val="21"/>
                <w:szCs w:val="21"/>
              </w:rPr>
            </w:pPr>
            <w:r>
              <w:rPr>
                <w:rFonts w:hint="eastAsia"/>
              </w:rPr>
              <w:t>显示器</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台</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13</w:t>
            </w:r>
          </w:p>
        </w:tc>
        <w:tc>
          <w:tcPr>
            <w:tcW w:w="2940" w:type="dxa"/>
            <w:vAlign w:val="center"/>
          </w:tcPr>
          <w:p>
            <w:pPr>
              <w:jc w:val="left"/>
              <w:rPr>
                <w:sz w:val="21"/>
                <w:szCs w:val="21"/>
              </w:rPr>
            </w:pPr>
            <w:r>
              <w:rPr>
                <w:rFonts w:hint="eastAsia"/>
              </w:rPr>
              <w:t>移动小车</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台</w:t>
            </w:r>
          </w:p>
        </w:tc>
        <w:tc>
          <w:tcPr>
            <w:tcW w:w="853" w:type="dxa"/>
          </w:tcPr>
          <w:p>
            <w:pPr>
              <w:jc w:val="center"/>
              <w:rPr>
                <w:rFonts w:hint="eastAsia" w:ascii="宋体" w:hAnsi="宋体"/>
                <w:bCs/>
                <w:cap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1" w:type="dxa"/>
          </w:tcPr>
          <w:p>
            <w:pPr>
              <w:jc w:val="center"/>
              <w:rPr>
                <w:rFonts w:hint="eastAsia" w:ascii="宋体" w:hAnsi="宋体"/>
                <w:bCs/>
                <w:caps/>
                <w:sz w:val="21"/>
                <w:szCs w:val="21"/>
                <w:lang w:val="en-US" w:eastAsia="zh-CN"/>
              </w:rPr>
            </w:pPr>
            <w:r>
              <w:rPr>
                <w:rFonts w:hint="eastAsia" w:ascii="宋体" w:hAnsi="宋体"/>
                <w:bCs/>
                <w:caps/>
                <w:sz w:val="21"/>
                <w:szCs w:val="21"/>
                <w:lang w:val="en-US" w:eastAsia="zh-CN"/>
              </w:rPr>
              <w:t>14</w:t>
            </w:r>
          </w:p>
        </w:tc>
        <w:tc>
          <w:tcPr>
            <w:tcW w:w="2940" w:type="dxa"/>
            <w:vAlign w:val="center"/>
          </w:tcPr>
          <w:p>
            <w:pPr>
              <w:jc w:val="left"/>
              <w:rPr>
                <w:sz w:val="21"/>
                <w:szCs w:val="21"/>
              </w:rPr>
            </w:pPr>
            <w:r>
              <w:rPr>
                <w:rFonts w:hint="eastAsia"/>
              </w:rPr>
              <w:t>插线板</w:t>
            </w:r>
          </w:p>
        </w:tc>
        <w:tc>
          <w:tcPr>
            <w:tcW w:w="1608" w:type="dxa"/>
          </w:tcPr>
          <w:p>
            <w:pPr>
              <w:jc w:val="center"/>
              <w:rPr>
                <w:rFonts w:hint="eastAsia" w:ascii="宋体" w:hAnsi="宋体"/>
                <w:bCs/>
                <w:caps/>
                <w:sz w:val="21"/>
                <w:szCs w:val="21"/>
              </w:rPr>
            </w:pPr>
          </w:p>
        </w:tc>
        <w:tc>
          <w:tcPr>
            <w:tcW w:w="1440" w:type="dxa"/>
          </w:tcPr>
          <w:p>
            <w:pPr>
              <w:jc w:val="center"/>
              <w:rPr>
                <w:rFonts w:hint="eastAsia" w:ascii="宋体" w:hAnsi="宋体"/>
                <w:bCs/>
                <w:caps/>
                <w:sz w:val="21"/>
                <w:szCs w:val="21"/>
              </w:rPr>
            </w:pPr>
          </w:p>
        </w:tc>
        <w:tc>
          <w:tcPr>
            <w:tcW w:w="960" w:type="dxa"/>
            <w:vAlign w:val="center"/>
          </w:tcPr>
          <w:p>
            <w:pPr>
              <w:jc w:val="center"/>
              <w:rPr>
                <w:rFonts w:ascii="宋体" w:hAnsi="宋体"/>
                <w:bCs/>
                <w:caps/>
                <w:sz w:val="21"/>
                <w:szCs w:val="21"/>
              </w:rPr>
            </w:pPr>
            <w:r>
              <w:rPr>
                <w:rFonts w:hint="eastAsia"/>
              </w:rPr>
              <w:t>1</w:t>
            </w:r>
          </w:p>
        </w:tc>
        <w:tc>
          <w:tcPr>
            <w:tcW w:w="996" w:type="dxa"/>
            <w:vAlign w:val="center"/>
          </w:tcPr>
          <w:p>
            <w:pPr>
              <w:jc w:val="center"/>
              <w:rPr>
                <w:sz w:val="21"/>
                <w:szCs w:val="21"/>
              </w:rPr>
            </w:pPr>
            <w:r>
              <w:rPr>
                <w:rFonts w:hint="eastAsia"/>
              </w:rPr>
              <w:t>个</w:t>
            </w:r>
          </w:p>
        </w:tc>
        <w:tc>
          <w:tcPr>
            <w:tcW w:w="853" w:type="dxa"/>
          </w:tcPr>
          <w:p>
            <w:pPr>
              <w:jc w:val="center"/>
              <w:rPr>
                <w:rFonts w:hint="eastAsia" w:ascii="宋体" w:hAnsi="宋体"/>
                <w:bCs/>
                <w:caps/>
                <w:sz w:val="21"/>
                <w:szCs w:val="21"/>
              </w:rPr>
            </w:pPr>
          </w:p>
        </w:tc>
      </w:tr>
    </w:tbl>
    <w:p>
      <w:pPr>
        <w:pStyle w:val="2"/>
        <w:rPr>
          <w:rFonts w:hint="eastAsia"/>
          <w:lang w:eastAsia="zh-CN"/>
        </w:rPr>
      </w:pPr>
    </w:p>
    <w:p>
      <w:pPr>
        <w:rPr>
          <w:rFonts w:hint="eastAsia"/>
          <w:lang w:eastAsia="zh-CN"/>
        </w:rPr>
      </w:pPr>
    </w:p>
    <w:p>
      <w:pPr>
        <w:pStyle w:val="2"/>
        <w:rPr>
          <w:rFonts w:hint="eastAsia"/>
          <w:lang w:eastAsia="zh-CN"/>
        </w:rPr>
      </w:pPr>
    </w:p>
    <w:p>
      <w:pPr>
        <w:rPr>
          <w:b/>
          <w:bCs/>
        </w:rPr>
      </w:pPr>
    </w:p>
    <w:p/>
    <w:p>
      <w:r>
        <w:rPr>
          <w:rFonts w:hint="eastAsia"/>
        </w:rPr>
        <w:t xml:space="preserve"> </w:t>
      </w:r>
      <w:r>
        <w:t xml:space="preserve">     </w:t>
      </w:r>
    </w:p>
    <w:p/>
    <w:p>
      <w:pPr>
        <w:ind w:firstLine="723" w:firstLineChars="300"/>
        <w:rPr>
          <w:b/>
          <w:color w:val="FF0000"/>
          <w:sz w:val="24"/>
        </w:rPr>
      </w:pPr>
      <w:r>
        <w:rPr>
          <w:rFonts w:hint="eastAsia"/>
          <w:b/>
          <w:color w:val="FF0000"/>
          <w:sz w:val="24"/>
        </w:rPr>
        <w:t>（信息公开部分的内容到此为止！以下为信息不公开部分。）</w:t>
      </w:r>
    </w:p>
    <w:bookmarkEnd w:id="63"/>
    <w:p>
      <w:r>
        <w:br w:type="page"/>
      </w:r>
    </w:p>
    <w:p>
      <w:pPr>
        <w:outlineLvl w:val="1"/>
        <w:rPr>
          <w:rFonts w:ascii="宋体" w:hAnsi="宋体"/>
          <w:b/>
          <w:color w:val="FF0000"/>
          <w:sz w:val="28"/>
          <w:szCs w:val="28"/>
        </w:rPr>
      </w:pPr>
      <w:bookmarkStart w:id="67" w:name="_Hlk72260530"/>
      <w:r>
        <w:rPr>
          <w:rFonts w:hint="eastAsia" w:ascii="宋体" w:hAnsi="宋体"/>
          <w:b/>
          <w:color w:val="FF0000"/>
          <w:sz w:val="28"/>
          <w:szCs w:val="28"/>
        </w:rPr>
        <w:t>投标文件附件（信息不公开部分）</w:t>
      </w:r>
    </w:p>
    <w:p>
      <w:pPr>
        <w:pStyle w:val="4"/>
        <w:jc w:val="center"/>
        <w:rPr>
          <w:rFonts w:ascii="黑体" w:eastAsia="黑体"/>
          <w:b w:val="0"/>
          <w:sz w:val="24"/>
        </w:rPr>
      </w:pPr>
      <w:r>
        <w:rPr>
          <w:rFonts w:hint="eastAsia" w:ascii="黑体" w:eastAsia="黑体"/>
          <w:b w:val="0"/>
          <w:sz w:val="24"/>
        </w:rPr>
        <w:t>一、</w:t>
      </w:r>
      <w:bookmarkStart w:id="68" w:name="_Hlk72092499"/>
      <w:r>
        <w:rPr>
          <w:rFonts w:hint="eastAsia" w:ascii="黑体" w:eastAsia="黑体"/>
          <w:b w:val="0"/>
          <w:sz w:val="24"/>
        </w:rPr>
        <w:t>法定代表人（负责人）证明书</w:t>
      </w:r>
      <w:bookmarkEnd w:id="68"/>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职务，为法定代表人（负责人），特此证明。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说明：1、法定代表人为投标人（企业事业单位、国家机关、社会团体）的主要行政负责人。</w:t>
      </w:r>
    </w:p>
    <w:p>
      <w:pPr>
        <w:numPr>
          <w:ilvl w:val="0"/>
          <w:numId w:val="20"/>
        </w:numPr>
        <w:ind w:left="315"/>
        <w:rPr>
          <w:rFonts w:hint="eastAsia"/>
          <w:szCs w:val="21"/>
        </w:rPr>
      </w:pPr>
      <w:r>
        <w:rPr>
          <w:rFonts w:hint="eastAsia"/>
          <w:szCs w:val="21"/>
        </w:rPr>
        <w:t>内容必须填写真实、清楚，涂改无效，不得转让、买卖。</w:t>
      </w:r>
    </w:p>
    <w:p>
      <w:pPr>
        <w:spacing w:line="360" w:lineRule="auto"/>
        <w:ind w:firstLine="422" w:firstLineChars="200"/>
        <w:rPr>
          <w:b/>
          <w:color w:val="FF0000"/>
          <w:szCs w:val="21"/>
        </w:rPr>
      </w:pPr>
      <w:r>
        <w:rPr>
          <w:rFonts w:hint="eastAsia"/>
          <w:b/>
          <w:color w:val="FF0000"/>
          <w:szCs w:val="21"/>
        </w:rPr>
        <w:t>附： 请提供代理人身份证扫描件（正反两面）；港澳台居民可提供来往通行证扫描件；非中国国籍管辖范围人员，可提供公安部门认可的身份证明材料扫描件。</w:t>
      </w:r>
    </w:p>
    <w:p>
      <w:pPr>
        <w:pStyle w:val="2"/>
        <w:numPr>
          <w:ilvl w:val="-1"/>
          <w:numId w:val="0"/>
        </w:numPr>
        <w:ind w:left="315"/>
      </w:pPr>
    </w:p>
    <w:p>
      <w:pPr>
        <w:rPr>
          <w:sz w:val="24"/>
        </w:rPr>
      </w:pPr>
    </w:p>
    <w:p>
      <w:pPr>
        <w:rPr>
          <w:b/>
          <w:bCs/>
          <w:sz w:val="24"/>
        </w:rPr>
      </w:pPr>
    </w:p>
    <w:p>
      <w:pPr>
        <w:pStyle w:val="4"/>
        <w:spacing w:before="120" w:after="120"/>
        <w:jc w:val="center"/>
        <w:rPr>
          <w:rFonts w:ascii="黑体" w:eastAsia="黑体"/>
          <w:b w:val="0"/>
          <w:sz w:val="24"/>
        </w:rPr>
      </w:pPr>
      <w:r>
        <w:rPr>
          <w:rFonts w:hint="eastAsia" w:ascii="黑体" w:eastAsia="黑体"/>
          <w:b w:val="0"/>
          <w:sz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pStyle w:val="8"/>
        <w:spacing w:line="360" w:lineRule="auto"/>
        <w:rPr>
          <w:szCs w:val="21"/>
        </w:rPr>
      </w:pPr>
      <w:r>
        <w:rPr>
          <w:rFonts w:hint="eastAsia"/>
          <w:szCs w:val="21"/>
        </w:rPr>
        <w:t>代理人无转委托权，特此委托。</w:t>
      </w:r>
    </w:p>
    <w:p>
      <w:pPr>
        <w:pStyle w:val="8"/>
        <w:spacing w:line="360" w:lineRule="auto"/>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
      <w:pPr>
        <w:spacing w:line="360" w:lineRule="auto"/>
        <w:ind w:firstLine="422" w:firstLineChars="200"/>
        <w:rPr>
          <w:b/>
          <w:color w:val="FF0000"/>
          <w:szCs w:val="21"/>
        </w:rPr>
      </w:pPr>
      <w:r>
        <w:rPr>
          <w:rFonts w:hint="eastAsia"/>
          <w:b/>
          <w:color w:val="FF0000"/>
          <w:szCs w:val="21"/>
        </w:rPr>
        <w:t>附： 请提供代理人身份证扫描件（正反两面）；港澳台居民可提供来往通行证扫描件；非中国国籍管辖范围人员，可提供公安部门认可的身份证明材料扫描件。</w:t>
      </w:r>
    </w:p>
    <w:p>
      <w:pPr>
        <w:spacing w:line="360" w:lineRule="auto"/>
        <w:rPr>
          <w:b/>
          <w:szCs w:val="21"/>
        </w:rPr>
      </w:pPr>
    </w:p>
    <w:p>
      <w:pPr>
        <w:pStyle w:val="4"/>
        <w:jc w:val="center"/>
        <w:rPr>
          <w:rFonts w:ascii="黑体" w:eastAsia="黑体"/>
          <w:b w:val="0"/>
          <w:kern w:val="0"/>
          <w:sz w:val="24"/>
          <w:szCs w:val="24"/>
        </w:rPr>
      </w:pPr>
      <w:r>
        <w:rPr>
          <w:rFonts w:hint="eastAsia" w:ascii="黑体" w:eastAsia="黑体"/>
          <w:b w:val="0"/>
          <w:kern w:val="0"/>
          <w:sz w:val="24"/>
          <w:szCs w:val="24"/>
        </w:rPr>
        <w:t>三、</w:t>
      </w:r>
      <w:bookmarkStart w:id="69" w:name="_Hlk72092634"/>
      <w:r>
        <w:rPr>
          <w:rFonts w:hint="eastAsia" w:ascii="黑体" w:eastAsia="黑体"/>
          <w:b w:val="0"/>
          <w:kern w:val="0"/>
          <w:sz w:val="24"/>
          <w:szCs w:val="24"/>
        </w:rPr>
        <w:t>实质性条款响应情况表</w:t>
      </w:r>
      <w:bookmarkEnd w:id="69"/>
    </w:p>
    <w:tbl>
      <w:tblPr>
        <w:tblStyle w:val="4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26"/>
        <w:gridCol w:w="1020"/>
        <w:gridCol w:w="1104"/>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5" w:type="dxa"/>
            <w:vAlign w:val="center"/>
          </w:tcPr>
          <w:p>
            <w:pPr>
              <w:adjustRightInd w:val="0"/>
              <w:snapToGrid w:val="0"/>
              <w:spacing w:line="360" w:lineRule="auto"/>
              <w:jc w:val="center"/>
              <w:rPr>
                <w:rFonts w:ascii="宋体" w:hAnsi="宋体"/>
                <w:kern w:val="0"/>
                <w:szCs w:val="21"/>
              </w:rPr>
            </w:pPr>
            <w:bookmarkStart w:id="70" w:name="_Hlk72092651"/>
            <w:r>
              <w:rPr>
                <w:rFonts w:hint="eastAsia" w:ascii="宋体" w:hAnsi="宋体"/>
                <w:kern w:val="0"/>
                <w:szCs w:val="21"/>
              </w:rPr>
              <w:t>序号</w:t>
            </w:r>
          </w:p>
        </w:tc>
        <w:tc>
          <w:tcPr>
            <w:tcW w:w="4726"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实质性条款具体内容</w:t>
            </w:r>
          </w:p>
        </w:tc>
        <w:tc>
          <w:tcPr>
            <w:tcW w:w="1020" w:type="dxa"/>
            <w:vAlign w:val="center"/>
          </w:tcPr>
          <w:p>
            <w:pPr>
              <w:adjustRightInd w:val="0"/>
              <w:snapToGrid w:val="0"/>
              <w:spacing w:line="360" w:lineRule="auto"/>
              <w:jc w:val="center"/>
              <w:rPr>
                <w:rFonts w:ascii="宋体" w:hAnsi="宋体"/>
                <w:kern w:val="0"/>
                <w:szCs w:val="21"/>
              </w:rPr>
            </w:pPr>
            <w:r>
              <w:rPr>
                <w:rFonts w:hint="eastAsia"/>
              </w:rPr>
              <w:t>投标响应</w:t>
            </w:r>
          </w:p>
        </w:tc>
        <w:tc>
          <w:tcPr>
            <w:tcW w:w="1104" w:type="dxa"/>
            <w:vAlign w:val="center"/>
          </w:tcPr>
          <w:p>
            <w:pPr>
              <w:adjustRightInd w:val="0"/>
              <w:snapToGrid w:val="0"/>
              <w:spacing w:line="360" w:lineRule="auto"/>
              <w:jc w:val="center"/>
              <w:rPr>
                <w:rFonts w:ascii="宋体" w:hAnsi="宋体"/>
                <w:kern w:val="0"/>
                <w:szCs w:val="21"/>
              </w:rPr>
            </w:pPr>
            <w:r>
              <w:rPr>
                <w:rFonts w:hint="eastAsia"/>
              </w:rPr>
              <w:t>偏离情况</w:t>
            </w:r>
          </w:p>
        </w:tc>
        <w:tc>
          <w:tcPr>
            <w:tcW w:w="662" w:type="dxa"/>
            <w:vAlign w:val="center"/>
          </w:tcPr>
          <w:p>
            <w:pPr>
              <w:adjustRightInd w:val="0"/>
              <w:snapToGrid w:val="0"/>
              <w:spacing w:line="360" w:lineRule="auto"/>
              <w:jc w:val="center"/>
              <w:rPr>
                <w:rFonts w:ascii="宋体" w:hAnsi="宋体"/>
                <w:kern w:val="0"/>
                <w:szCs w:val="21"/>
              </w:rPr>
            </w:pPr>
            <w:r>
              <w:rPr>
                <w:rFonts w:hint="eastAsia"/>
              </w:rPr>
              <w:t>说明</w:t>
            </w:r>
          </w:p>
        </w:tc>
      </w:tr>
      <w:bookmark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ascii="宋体" w:hAnsi="宋体" w:cs="宋体"/>
                <w:kern w:val="0"/>
                <w:szCs w:val="21"/>
              </w:rPr>
              <w:t>1</w:t>
            </w:r>
          </w:p>
        </w:tc>
        <w:tc>
          <w:tcPr>
            <w:tcW w:w="4726" w:type="dxa"/>
            <w:vAlign w:val="top"/>
          </w:tcPr>
          <w:p>
            <w:pPr>
              <w:widowControl/>
              <w:jc w:val="left"/>
              <w:rPr>
                <w:rFonts w:hAnsi="宋体"/>
                <w:kern w:val="0"/>
                <w:szCs w:val="21"/>
              </w:rPr>
            </w:pPr>
            <w:r>
              <w:rPr>
                <w:rFonts w:ascii="宋体" w:hAnsi="宋体" w:cs="宋体"/>
                <w:kern w:val="0"/>
                <w:szCs w:val="21"/>
              </w:rPr>
              <w:t>各投标人应在投标文件中列明各主机、配件和易耗品的保修期限，并承诺提供</w:t>
            </w:r>
            <w:r>
              <w:rPr>
                <w:rFonts w:hint="eastAsia" w:ascii="宋体" w:hAnsi="宋体"/>
                <w:szCs w:val="21"/>
              </w:rPr>
              <w:t>超声切割止血系统、电外科能量平台（高频电外科手术系统）</w:t>
            </w:r>
            <w:r>
              <w:rPr>
                <w:rFonts w:ascii="宋体" w:hAnsi="宋体" w:cs="宋体"/>
                <w:kern w:val="0"/>
                <w:szCs w:val="21"/>
              </w:rPr>
              <w:t>主机及配件</w:t>
            </w:r>
            <w:r>
              <w:rPr>
                <w:rFonts w:hint="eastAsia" w:ascii="宋体" w:hAnsi="宋体" w:cs="宋体"/>
                <w:kern w:val="0"/>
                <w:szCs w:val="21"/>
              </w:rPr>
              <w:t>原厂</w:t>
            </w:r>
            <w:r>
              <w:rPr>
                <w:rFonts w:ascii="宋体" w:hAnsi="宋体" w:cs="宋体"/>
                <w:kern w:val="0"/>
                <w:szCs w:val="21"/>
              </w:rPr>
              <w:t>免费保修期≥</w:t>
            </w:r>
            <w:r>
              <w:rPr>
                <w:rFonts w:ascii="宋体" w:hAnsi="宋体" w:cs="宋体"/>
                <w:kern w:val="0"/>
                <w:szCs w:val="21"/>
                <w:u w:val="single"/>
              </w:rPr>
              <w:t xml:space="preserve">  </w:t>
            </w:r>
            <w:r>
              <w:rPr>
                <w:rFonts w:hint="eastAsia" w:ascii="宋体" w:hAnsi="宋体" w:cs="宋体"/>
                <w:kern w:val="0"/>
                <w:szCs w:val="21"/>
                <w:u w:val="single"/>
              </w:rPr>
              <w:t>5</w:t>
            </w:r>
            <w:r>
              <w:rPr>
                <w:rFonts w:ascii="宋体" w:hAnsi="宋体" w:cs="宋体"/>
                <w:kern w:val="0"/>
                <w:szCs w:val="21"/>
                <w:u w:val="single"/>
              </w:rPr>
              <w:t xml:space="preserve">  </w:t>
            </w:r>
            <w:r>
              <w:rPr>
                <w:rFonts w:ascii="宋体" w:hAnsi="宋体" w:cs="宋体"/>
                <w:kern w:val="0"/>
                <w:szCs w:val="21"/>
              </w:rPr>
              <w:t>年</w:t>
            </w:r>
            <w:r>
              <w:rPr>
                <w:rFonts w:hint="eastAsia" w:ascii="宋体" w:hAnsi="宋体" w:cs="宋体"/>
                <w:kern w:val="0"/>
                <w:szCs w:val="21"/>
              </w:rPr>
              <w:t>，其余设备主机</w:t>
            </w:r>
            <w:r>
              <w:rPr>
                <w:rFonts w:hint="eastAsia" w:ascii="宋体" w:hAnsi="宋体"/>
                <w:kern w:val="0"/>
                <w:szCs w:val="21"/>
              </w:rPr>
              <w:t>及配件原厂免费保修期≥</w:t>
            </w:r>
            <w:r>
              <w:rPr>
                <w:rFonts w:hint="eastAsia" w:ascii="宋体" w:hAnsi="宋体"/>
                <w:bCs/>
                <w:kern w:val="0"/>
                <w:szCs w:val="21"/>
                <w:u w:val="single"/>
              </w:rPr>
              <w:t xml:space="preserve">  3  </w:t>
            </w:r>
            <w:r>
              <w:rPr>
                <w:rFonts w:hint="eastAsia" w:ascii="宋体" w:hAnsi="宋体"/>
                <w:kern w:val="0"/>
                <w:szCs w:val="21"/>
              </w:rPr>
              <w:t>年</w:t>
            </w:r>
            <w:r>
              <w:rPr>
                <w:rFonts w:hint="eastAsia" w:ascii="宋体" w:hAnsi="宋体" w:cs="宋体"/>
                <w:kern w:val="0"/>
                <w:szCs w:val="21"/>
              </w:rPr>
              <w:t>。</w:t>
            </w:r>
            <w:r>
              <w:rPr>
                <w:rFonts w:ascii="宋体" w:hAnsi="宋体" w:cs="宋体"/>
                <w:kern w:val="0"/>
                <w:szCs w:val="21"/>
              </w:rPr>
              <w:t>保修期以验收合格，双方代表签署“性能验收报告”之日起计算。</w:t>
            </w:r>
          </w:p>
        </w:tc>
        <w:tc>
          <w:tcPr>
            <w:tcW w:w="1020" w:type="dxa"/>
          </w:tcPr>
          <w:p>
            <w:pPr>
              <w:adjustRightInd w:val="0"/>
              <w:snapToGrid w:val="0"/>
              <w:spacing w:line="360" w:lineRule="auto"/>
              <w:rPr>
                <w:rFonts w:ascii="宋体" w:hAnsi="宋体"/>
                <w:kern w:val="0"/>
                <w:szCs w:val="21"/>
              </w:rPr>
            </w:pPr>
          </w:p>
        </w:tc>
        <w:tc>
          <w:tcPr>
            <w:tcW w:w="1104" w:type="dxa"/>
          </w:tcPr>
          <w:p>
            <w:pPr>
              <w:adjustRightInd w:val="0"/>
              <w:snapToGrid w:val="0"/>
              <w:spacing w:line="360" w:lineRule="auto"/>
              <w:rPr>
                <w:rFonts w:ascii="宋体" w:hAnsi="宋体"/>
                <w:kern w:val="0"/>
                <w:szCs w:val="21"/>
              </w:rPr>
            </w:pPr>
          </w:p>
        </w:tc>
        <w:tc>
          <w:tcPr>
            <w:tcW w:w="662"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hint="eastAsia" w:ascii="宋体" w:hAnsi="宋体" w:cs="宋体"/>
                <w:kern w:val="0"/>
                <w:szCs w:val="21"/>
                <w:lang w:val="en-US" w:eastAsia="zh-CN"/>
              </w:rPr>
              <w:t>2</w:t>
            </w:r>
          </w:p>
        </w:tc>
        <w:tc>
          <w:tcPr>
            <w:tcW w:w="4726" w:type="dxa"/>
            <w:vAlign w:val="top"/>
          </w:tcPr>
          <w:p>
            <w:pPr>
              <w:widowControl/>
              <w:jc w:val="left"/>
              <w:rPr>
                <w:rFonts w:hAnsi="宋体"/>
                <w:kern w:val="0"/>
                <w:szCs w:val="21"/>
              </w:rPr>
            </w:pPr>
            <w:r>
              <w:rPr>
                <w:rFonts w:hint="eastAsia" w:ascii="宋体" w:hAnsi="宋体" w:eastAsia="宋体" w:cs="宋体"/>
                <w:szCs w:val="21"/>
              </w:rPr>
              <w:t>投标人所投产品</w:t>
            </w:r>
            <w:r>
              <w:rPr>
                <w:rFonts w:hint="eastAsia" w:ascii="宋体" w:hAnsi="宋体" w:eastAsia="宋体" w:cs="宋体"/>
                <w:szCs w:val="21"/>
                <w:lang w:eastAsia="zh-CN"/>
              </w:rPr>
              <w:t>均</w:t>
            </w:r>
            <w:r>
              <w:rPr>
                <w:rFonts w:hint="eastAsia" w:ascii="宋体" w:hAnsi="宋体" w:eastAsia="宋体" w:cs="宋体"/>
                <w:szCs w:val="21"/>
              </w:rPr>
              <w:t>为医疗器械，必须提供医疗器械注册证书（或者备案凭证），原件备查。开标时，该证应在有效期内，若不在有效期内，则需提供该证和所投产品在该证有效期内生产的药监局出具的证明文件。</w:t>
            </w:r>
          </w:p>
        </w:tc>
        <w:tc>
          <w:tcPr>
            <w:tcW w:w="1020" w:type="dxa"/>
          </w:tcPr>
          <w:p>
            <w:pPr>
              <w:adjustRightInd w:val="0"/>
              <w:snapToGrid w:val="0"/>
              <w:spacing w:line="360" w:lineRule="auto"/>
              <w:rPr>
                <w:rFonts w:ascii="宋体" w:hAnsi="宋体"/>
                <w:kern w:val="0"/>
                <w:szCs w:val="21"/>
              </w:rPr>
            </w:pPr>
          </w:p>
        </w:tc>
        <w:tc>
          <w:tcPr>
            <w:tcW w:w="1104" w:type="dxa"/>
          </w:tcPr>
          <w:p>
            <w:pPr>
              <w:adjustRightInd w:val="0"/>
              <w:snapToGrid w:val="0"/>
              <w:spacing w:line="360" w:lineRule="auto"/>
              <w:rPr>
                <w:rFonts w:ascii="宋体" w:hAnsi="宋体"/>
                <w:kern w:val="0"/>
                <w:szCs w:val="21"/>
              </w:rPr>
            </w:pPr>
          </w:p>
        </w:tc>
        <w:tc>
          <w:tcPr>
            <w:tcW w:w="662"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ascii="宋体" w:hAnsi="宋体"/>
                <w:kern w:val="0"/>
                <w:szCs w:val="21"/>
              </w:rPr>
            </w:pPr>
            <w:r>
              <w:rPr>
                <w:rFonts w:hint="eastAsia" w:ascii="宋体" w:hAnsi="宋体" w:cs="宋体"/>
                <w:kern w:val="0"/>
                <w:szCs w:val="21"/>
                <w:lang w:val="en-US" w:eastAsia="zh-CN"/>
              </w:rPr>
              <w:t>3</w:t>
            </w:r>
          </w:p>
        </w:tc>
        <w:tc>
          <w:tcPr>
            <w:tcW w:w="4726" w:type="dxa"/>
            <w:vAlign w:val="top"/>
          </w:tcPr>
          <w:p>
            <w:pPr>
              <w:widowControl/>
              <w:jc w:val="left"/>
              <w:rPr>
                <w:rFonts w:ascii="宋体" w:hAnsi="宋体"/>
                <w:kern w:val="0"/>
                <w:szCs w:val="21"/>
              </w:rPr>
            </w:pPr>
            <w:r>
              <w:rPr>
                <w:rFonts w:hint="eastAsia" w:ascii="宋体" w:hAnsi="宋体" w:eastAsia="宋体" w:cs="宋体"/>
                <w:szCs w:val="21"/>
              </w:rPr>
              <w:t>投标人所投产品</w:t>
            </w:r>
            <w:r>
              <w:rPr>
                <w:rFonts w:hint="eastAsia" w:ascii="宋体" w:hAnsi="宋体" w:eastAsia="宋体" w:cs="宋体"/>
                <w:szCs w:val="21"/>
                <w:lang w:eastAsia="zh-CN"/>
              </w:rPr>
              <w:t>均</w:t>
            </w:r>
            <w:r>
              <w:rPr>
                <w:rFonts w:hint="eastAsia" w:ascii="宋体" w:hAnsi="宋体" w:eastAsia="宋体" w:cs="宋体"/>
                <w:szCs w:val="21"/>
              </w:rPr>
              <w:t>为医疗器械，必须提供医疗器械生产企业许可证（投标人为所投产品的生产企业时），或者医疗器械经营企业许可证（投标人为所投产品的代理商或授权供应商时）。</w:t>
            </w:r>
          </w:p>
        </w:tc>
        <w:tc>
          <w:tcPr>
            <w:tcW w:w="1020" w:type="dxa"/>
          </w:tcPr>
          <w:p>
            <w:pPr>
              <w:adjustRightInd w:val="0"/>
              <w:snapToGrid w:val="0"/>
              <w:spacing w:line="360" w:lineRule="auto"/>
              <w:rPr>
                <w:rFonts w:ascii="宋体" w:hAnsi="宋体"/>
                <w:kern w:val="0"/>
                <w:szCs w:val="21"/>
              </w:rPr>
            </w:pPr>
          </w:p>
        </w:tc>
        <w:tc>
          <w:tcPr>
            <w:tcW w:w="1104" w:type="dxa"/>
          </w:tcPr>
          <w:p>
            <w:pPr>
              <w:adjustRightInd w:val="0"/>
              <w:snapToGrid w:val="0"/>
              <w:spacing w:line="360" w:lineRule="auto"/>
              <w:rPr>
                <w:rFonts w:ascii="宋体" w:hAnsi="宋体"/>
                <w:kern w:val="0"/>
                <w:szCs w:val="21"/>
              </w:rPr>
            </w:pPr>
          </w:p>
        </w:tc>
        <w:tc>
          <w:tcPr>
            <w:tcW w:w="662"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widowControl/>
              <w:jc w:val="center"/>
              <w:rPr>
                <w:rFonts w:hint="eastAsia" w:ascii="宋体" w:hAnsi="宋体"/>
                <w:kern w:val="0"/>
                <w:szCs w:val="21"/>
              </w:rPr>
            </w:pPr>
            <w:r>
              <w:rPr>
                <w:rFonts w:hint="eastAsia" w:ascii="宋体" w:hAnsi="宋体" w:cs="宋体"/>
                <w:kern w:val="0"/>
                <w:szCs w:val="21"/>
                <w:lang w:val="en-US" w:eastAsia="zh-CN"/>
              </w:rPr>
              <w:t>4</w:t>
            </w:r>
          </w:p>
        </w:tc>
        <w:tc>
          <w:tcPr>
            <w:tcW w:w="4726" w:type="dxa"/>
            <w:vAlign w:val="top"/>
          </w:tcPr>
          <w:p>
            <w:pPr>
              <w:widowControl/>
              <w:jc w:val="left"/>
              <w:rPr>
                <w:rFonts w:hint="eastAsia" w:ascii="宋体" w:hAnsi="宋体"/>
                <w:kern w:val="0"/>
                <w:szCs w:val="21"/>
              </w:rPr>
            </w:pPr>
            <w:r>
              <w:rPr>
                <w:rFonts w:hint="eastAsia" w:ascii="宋体" w:hAnsi="宋体"/>
                <w:bCs/>
                <w:kern w:val="0"/>
                <w:szCs w:val="21"/>
              </w:rPr>
              <w:t>投标人在签订合同之日起</w:t>
            </w:r>
            <w:r>
              <w:rPr>
                <w:rFonts w:hint="eastAsia" w:ascii="宋体" w:hAnsi="宋体"/>
                <w:bCs/>
                <w:kern w:val="0"/>
                <w:szCs w:val="21"/>
                <w:u w:val="single"/>
              </w:rPr>
              <w:t xml:space="preserve">  30  </w:t>
            </w:r>
            <w:r>
              <w:rPr>
                <w:rFonts w:hint="eastAsia" w:ascii="宋体" w:hAnsi="宋体"/>
                <w:bCs/>
                <w:kern w:val="0"/>
                <w:szCs w:val="21"/>
              </w:rPr>
              <w:t>天（日历日）内交货。</w:t>
            </w:r>
          </w:p>
        </w:tc>
        <w:tc>
          <w:tcPr>
            <w:tcW w:w="1020" w:type="dxa"/>
          </w:tcPr>
          <w:p>
            <w:pPr>
              <w:adjustRightInd w:val="0"/>
              <w:snapToGrid w:val="0"/>
              <w:spacing w:line="360" w:lineRule="auto"/>
              <w:rPr>
                <w:rFonts w:ascii="宋体" w:hAnsi="宋体"/>
                <w:kern w:val="0"/>
                <w:szCs w:val="21"/>
              </w:rPr>
            </w:pPr>
          </w:p>
        </w:tc>
        <w:tc>
          <w:tcPr>
            <w:tcW w:w="1104" w:type="dxa"/>
          </w:tcPr>
          <w:p>
            <w:pPr>
              <w:adjustRightInd w:val="0"/>
              <w:snapToGrid w:val="0"/>
              <w:spacing w:line="360" w:lineRule="auto"/>
              <w:rPr>
                <w:rFonts w:ascii="宋体" w:hAnsi="宋体"/>
                <w:kern w:val="0"/>
                <w:szCs w:val="21"/>
              </w:rPr>
            </w:pPr>
          </w:p>
        </w:tc>
        <w:tc>
          <w:tcPr>
            <w:tcW w:w="662" w:type="dxa"/>
          </w:tcPr>
          <w:p>
            <w:pPr>
              <w:adjustRightInd w:val="0"/>
              <w:snapToGrid w:val="0"/>
              <w:spacing w:line="360" w:lineRule="auto"/>
              <w:rPr>
                <w:rFonts w:ascii="宋体" w:hAnsi="宋体"/>
                <w:kern w:val="0"/>
                <w:szCs w:val="21"/>
              </w:rPr>
            </w:pPr>
          </w:p>
        </w:tc>
      </w:tr>
    </w:tbl>
    <w:p>
      <w:pPr>
        <w:ind w:firstLine="482" w:firstLineChars="200"/>
        <w:rPr>
          <w:b/>
          <w:sz w:val="24"/>
          <w:szCs w:val="22"/>
        </w:rPr>
      </w:pPr>
    </w:p>
    <w:p>
      <w:pPr>
        <w:spacing w:line="360" w:lineRule="auto"/>
        <w:rPr>
          <w:b/>
        </w:rPr>
      </w:pPr>
      <w:r>
        <w:rPr>
          <w:rFonts w:hint="eastAsia"/>
          <w:b/>
          <w:sz w:val="24"/>
          <w:szCs w:val="22"/>
        </w:rPr>
        <w:t>注：</w:t>
      </w:r>
      <w:r>
        <w:rPr>
          <w:rFonts w:hint="eastAsia"/>
          <w:b/>
        </w:rPr>
        <w:t>1. 上表所列内容为不可负偏离条款。</w:t>
      </w:r>
    </w:p>
    <w:p>
      <w:pPr>
        <w:spacing w:line="360" w:lineRule="auto"/>
        <w:ind w:firstLine="422" w:firstLineChars="200"/>
        <w:rPr>
          <w:b/>
        </w:rPr>
      </w:pPr>
      <w:r>
        <w:rPr>
          <w:rFonts w:hint="eastAsia"/>
          <w:b/>
        </w:rPr>
        <w:t>2.“投标人响应情况”一栏应如实填写“响应”或“不响应”。</w:t>
      </w:r>
    </w:p>
    <w:p>
      <w:pPr>
        <w:ind w:firstLine="422" w:firstLineChars="200"/>
        <w:rPr>
          <w:b/>
          <w:sz w:val="24"/>
          <w:szCs w:val="22"/>
        </w:rPr>
      </w:pPr>
      <w:r>
        <w:rPr>
          <w:rFonts w:hint="eastAsia"/>
          <w:b/>
        </w:rPr>
        <w:t>3. “实质性响应条款响应情况”与投标文件其它内容冲突的，以“实质性响应条款响应情况”为准</w:t>
      </w:r>
      <w:bookmarkEnd w:id="67"/>
    </w:p>
    <w:p/>
    <w:p/>
    <w:p>
      <w:pPr>
        <w:rPr>
          <w:sz w:val="24"/>
        </w:rPr>
      </w:pPr>
    </w:p>
    <w:p>
      <w:pPr>
        <w:rPr>
          <w:sz w:val="24"/>
        </w:rPr>
      </w:pPr>
    </w:p>
    <w:p>
      <w:pPr>
        <w:pStyle w:val="4"/>
        <w:jc w:val="center"/>
        <w:rPr>
          <w:sz w:val="24"/>
        </w:rPr>
      </w:pPr>
      <w:r>
        <w:rPr>
          <w:rFonts w:hint="eastAsia" w:ascii="黑体" w:eastAsia="黑体"/>
          <w:b w:val="0"/>
          <w:sz w:val="24"/>
          <w:szCs w:val="24"/>
        </w:rPr>
        <w:t>四、技术要求偏离表</w:t>
      </w:r>
    </w:p>
    <w:p>
      <w:pPr>
        <w:spacing w:after="62" w:afterLines="20" w:line="360" w:lineRule="auto"/>
        <w:ind w:left="567"/>
        <w:rPr>
          <w:rFonts w:hint="eastAsia" w:ascii="宋体" w:hAnsi="宋体" w:cs="Arial"/>
          <w:b/>
          <w:sz w:val="24"/>
          <w:u w:val="none"/>
        </w:rPr>
      </w:pPr>
      <w:r>
        <w:rPr>
          <w:rFonts w:hint="eastAsia" w:ascii="宋体" w:hAnsi="宋体" w:cs="Arial"/>
          <w:bCs/>
          <w:sz w:val="24"/>
          <w:u w:val="none"/>
        </w:rPr>
        <w:t>1.</w:t>
      </w:r>
      <w:r>
        <w:rPr>
          <w:rFonts w:hint="eastAsia" w:ascii="宋体" w:hAnsi="宋体"/>
          <w:bCs/>
          <w:sz w:val="24"/>
          <w:u w:val="none"/>
        </w:rPr>
        <w:t>超声切割止血系统</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ascii="Times New Roman" w:hAnsi="Times New Roman"/>
                <w:kern w:val="0"/>
                <w:szCs w:val="21"/>
              </w:rPr>
              <w:t>磁性通用器械接口，可自动识别仪器并显示器械类</w:t>
            </w:r>
            <w:r>
              <w:rPr>
                <w:rFonts w:ascii="Times New Roman" w:hAnsi="Times New Roman" w:eastAsia="宋体" w:cs="Times New Roman"/>
                <w:kern w:val="0"/>
                <w:szCs w:val="21"/>
              </w:rPr>
              <w:t>型</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 w:val="21"/>
                <w:szCs w:val="21"/>
              </w:rPr>
              <w:t>无需借助任何外部设备或者软件</w:t>
            </w:r>
            <w:r>
              <w:rPr>
                <w:rFonts w:ascii="Times New Roman" w:hAnsi="Times New Roman" w:eastAsia="宋体" w:cs="Times New Roman"/>
                <w:kern w:val="0"/>
                <w:szCs w:val="21"/>
              </w:rPr>
              <w:t>。</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w:t>
            </w:r>
          </w:p>
        </w:tc>
        <w:tc>
          <w:tcPr>
            <w:tcW w:w="4914" w:type="dxa"/>
            <w:vAlign w:val="center"/>
          </w:tcPr>
          <w:p>
            <w:pPr>
              <w:rPr>
                <w:rFonts w:hint="eastAsia" w:ascii="宋体" w:hAnsi="宋体"/>
                <w:szCs w:val="21"/>
              </w:rPr>
            </w:pPr>
            <w:r>
              <w:rPr>
                <w:rFonts w:ascii="Times New Roman" w:hAnsi="Times New Roman"/>
                <w:kern w:val="0"/>
                <w:szCs w:val="21"/>
              </w:rPr>
              <w:t>主机发生器有双能量输出，</w:t>
            </w:r>
            <w:r>
              <w:rPr>
                <w:rFonts w:hint="eastAsia" w:ascii="Times New Roman" w:hAnsi="Times New Roman"/>
                <w:kern w:val="0"/>
                <w:szCs w:val="21"/>
              </w:rPr>
              <w:t>可输</w:t>
            </w:r>
            <w:r>
              <w:rPr>
                <w:rFonts w:ascii="Times New Roman" w:hAnsi="Times New Roman"/>
                <w:kern w:val="0"/>
                <w:szCs w:val="21"/>
              </w:rPr>
              <w:t>出超声能量和双极能量，</w:t>
            </w:r>
            <w:r>
              <w:rPr>
                <w:rFonts w:hint="eastAsia" w:ascii="Cambria" w:hAnsi="Cambria"/>
              </w:rPr>
              <w:t>两种能量通过同一台主机输出</w:t>
            </w:r>
            <w:r>
              <w:rPr>
                <w:rFonts w:ascii="Cambria" w:hAnsi="Cambria"/>
              </w:rPr>
              <w:t>。</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b/>
                <w:bCs/>
              </w:rPr>
              <w:t>3</w:t>
            </w:r>
          </w:p>
        </w:tc>
        <w:tc>
          <w:tcPr>
            <w:tcW w:w="4914" w:type="dxa"/>
            <w:vAlign w:val="center"/>
          </w:tcPr>
          <w:p>
            <w:pPr>
              <w:rPr>
                <w:rFonts w:hint="eastAsia" w:ascii="宋体" w:hAnsi="宋体"/>
                <w:b/>
                <w:bCs/>
                <w:color w:val="FF0000"/>
                <w:szCs w:val="21"/>
              </w:rPr>
            </w:pPr>
            <w:r>
              <w:rPr>
                <w:rFonts w:ascii="Times New Roman" w:hAnsi="Times New Roman"/>
                <w:kern w:val="0"/>
                <w:szCs w:val="21"/>
              </w:rPr>
              <w:t>具有彩色</w:t>
            </w:r>
            <w:r>
              <w:rPr>
                <w:rFonts w:hint="eastAsia" w:ascii="Times New Roman" w:hAnsi="Times New Roman"/>
                <w:kern w:val="0"/>
                <w:szCs w:val="21"/>
              </w:rPr>
              <w:t>触摸式</w:t>
            </w:r>
            <w:r>
              <w:rPr>
                <w:rFonts w:ascii="Times New Roman" w:hAnsi="Times New Roman"/>
                <w:kern w:val="0"/>
                <w:szCs w:val="21"/>
              </w:rPr>
              <w:t>显示器，触屏设置，可图文显示</w:t>
            </w:r>
            <w:r>
              <w:rPr>
                <w:rFonts w:hint="eastAsia" w:ascii="Times New Roman" w:hAnsi="Times New Roman"/>
                <w:kern w:val="0"/>
                <w:szCs w:val="21"/>
              </w:rPr>
              <w:t>至少5种</w:t>
            </w:r>
            <w:r>
              <w:rPr>
                <w:rFonts w:ascii="Times New Roman" w:hAnsi="Times New Roman"/>
                <w:kern w:val="0"/>
                <w:szCs w:val="21"/>
              </w:rPr>
              <w:t>故障诊断信息。</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ascii="Times New Roman" w:hAnsi="Times New Roman"/>
                <w:kern w:val="0"/>
                <w:szCs w:val="21"/>
                <w:lang w:eastAsia="zh-CN"/>
              </w:rPr>
              <w:t>具有通过</w:t>
            </w:r>
            <w:r>
              <w:rPr>
                <w:rFonts w:ascii="Times New Roman" w:hAnsi="Times New Roman"/>
                <w:kern w:val="0"/>
                <w:szCs w:val="21"/>
              </w:rPr>
              <w:t>USB</w:t>
            </w:r>
            <w:r>
              <w:rPr>
                <w:rFonts w:hint="eastAsia" w:ascii="Times New Roman" w:hAnsi="Times New Roman"/>
                <w:kern w:val="0"/>
                <w:szCs w:val="21"/>
              </w:rPr>
              <w:t>接</w:t>
            </w:r>
            <w:r>
              <w:rPr>
                <w:rFonts w:ascii="Times New Roman" w:hAnsi="Times New Roman"/>
                <w:kern w:val="0"/>
                <w:szCs w:val="21"/>
              </w:rPr>
              <w:t>口</w:t>
            </w:r>
            <w:r>
              <w:rPr>
                <w:rFonts w:hint="eastAsia" w:ascii="Times New Roman" w:hAnsi="Times New Roman"/>
                <w:kern w:val="0"/>
                <w:szCs w:val="21"/>
              </w:rPr>
              <w:t>升级</w:t>
            </w:r>
            <w:r>
              <w:rPr>
                <w:rFonts w:ascii="Times New Roman" w:hAnsi="Times New Roman"/>
                <w:kern w:val="0"/>
                <w:szCs w:val="21"/>
              </w:rPr>
              <w:t>系统软件版本</w:t>
            </w:r>
            <w:r>
              <w:rPr>
                <w:rFonts w:hint="eastAsia" w:ascii="Times New Roman" w:hAnsi="Times New Roman"/>
                <w:kern w:val="0"/>
                <w:szCs w:val="21"/>
                <w:lang w:eastAsia="zh-CN"/>
              </w:rPr>
              <w:t>功能。</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ascii="Times New Roman" w:hAnsi="Times New Roman"/>
                <w:kern w:val="0"/>
                <w:szCs w:val="21"/>
              </w:rPr>
              <w:t>主机发生器有使用历史记录记载功能。</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6</w:t>
            </w:r>
          </w:p>
        </w:tc>
        <w:tc>
          <w:tcPr>
            <w:tcW w:w="4914" w:type="dxa"/>
            <w:vAlign w:val="center"/>
          </w:tcPr>
          <w:p>
            <w:pPr>
              <w:rPr>
                <w:rFonts w:hint="eastAsia" w:ascii="宋体" w:hAnsi="宋体"/>
                <w:szCs w:val="21"/>
              </w:rPr>
            </w:pPr>
            <w:r>
              <w:rPr>
                <w:rFonts w:hint="eastAsia" w:ascii="Times New Roman" w:hAnsi="Times New Roman"/>
                <w:kern w:val="0"/>
                <w:szCs w:val="21"/>
              </w:rPr>
              <w:t>具有</w:t>
            </w:r>
            <w:r>
              <w:rPr>
                <w:rFonts w:ascii="Times New Roman" w:hAnsi="Times New Roman"/>
                <w:kern w:val="0"/>
                <w:szCs w:val="21"/>
              </w:rPr>
              <w:t>智能组织感应技术，能根据钳口中组织变化</w:t>
            </w:r>
            <w:r>
              <w:rPr>
                <w:rFonts w:hint="eastAsia" w:ascii="Times New Roman" w:hAnsi="Times New Roman"/>
                <w:kern w:val="0"/>
                <w:szCs w:val="21"/>
              </w:rPr>
              <w:t>自动</w:t>
            </w:r>
            <w:r>
              <w:rPr>
                <w:rFonts w:ascii="Times New Roman" w:hAnsi="Times New Roman"/>
                <w:kern w:val="0"/>
                <w:szCs w:val="21"/>
              </w:rPr>
              <w:t>调整能量输出</w:t>
            </w:r>
            <w:r>
              <w:rPr>
                <w:rFonts w:hint="eastAsia" w:ascii="Times New Roman" w:hAnsi="Times New Roman"/>
                <w:kern w:val="0"/>
                <w:szCs w:val="21"/>
                <w:lang w:eastAsia="zh-CN"/>
              </w:rPr>
              <w:t>。</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ascii="Times New Roman" w:hAnsi="Times New Roman"/>
                <w:kern w:val="0"/>
                <w:szCs w:val="21"/>
              </w:rPr>
              <w:t>超声振动频率大于</w:t>
            </w:r>
            <w:r>
              <w:rPr>
                <w:rFonts w:hint="eastAsia" w:ascii="Times New Roman" w:hAnsi="Times New Roman"/>
                <w:kern w:val="0"/>
                <w:szCs w:val="21"/>
              </w:rPr>
              <w:t>5</w:t>
            </w:r>
            <w:r>
              <w:rPr>
                <w:rFonts w:ascii="Times New Roman" w:hAnsi="Times New Roman"/>
                <w:kern w:val="0"/>
                <w:szCs w:val="21"/>
              </w:rPr>
              <w:t>5000Hz</w:t>
            </w:r>
            <w:r>
              <w:rPr>
                <w:rFonts w:hint="eastAsia" w:ascii="Times New Roman" w:hAnsi="Times New Roman"/>
                <w:kern w:val="0"/>
                <w:szCs w:val="21"/>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▲8</w:t>
            </w:r>
          </w:p>
        </w:tc>
        <w:tc>
          <w:tcPr>
            <w:tcW w:w="4914" w:type="dxa"/>
            <w:vAlign w:val="center"/>
          </w:tcPr>
          <w:p>
            <w:pPr>
              <w:rPr>
                <w:rFonts w:hint="eastAsia" w:ascii="宋体" w:hAnsi="宋体"/>
                <w:szCs w:val="21"/>
              </w:rPr>
            </w:pPr>
            <w:r>
              <w:rPr>
                <w:rFonts w:hint="eastAsia" w:ascii="Times New Roman" w:hAnsi="Times New Roman"/>
                <w:kern w:val="0"/>
                <w:szCs w:val="21"/>
              </w:rPr>
              <w:t>可适配能</w:t>
            </w:r>
            <w:r>
              <w:rPr>
                <w:rFonts w:ascii="Times New Roman" w:hAnsi="Times New Roman"/>
                <w:kern w:val="0"/>
                <w:szCs w:val="21"/>
              </w:rPr>
              <w:t>安全处理</w:t>
            </w:r>
            <w:r>
              <w:rPr>
                <w:rFonts w:hint="eastAsia" w:ascii="Times New Roman" w:hAnsi="Times New Roman"/>
                <w:kern w:val="0"/>
                <w:szCs w:val="21"/>
              </w:rPr>
              <w:t>直径7</w:t>
            </w:r>
            <w:r>
              <w:rPr>
                <w:rFonts w:ascii="Times New Roman" w:hAnsi="Times New Roman"/>
                <w:kern w:val="0"/>
                <w:szCs w:val="21"/>
              </w:rPr>
              <w:t>mm</w:t>
            </w:r>
            <w:r>
              <w:rPr>
                <w:rFonts w:hint="eastAsia" w:ascii="Times New Roman" w:hAnsi="Times New Roman"/>
                <w:kern w:val="0"/>
                <w:szCs w:val="21"/>
              </w:rPr>
              <w:t>以及7</w:t>
            </w:r>
            <w:r>
              <w:rPr>
                <w:rFonts w:ascii="Times New Roman" w:hAnsi="Times New Roman"/>
                <w:kern w:val="0"/>
                <w:szCs w:val="21"/>
              </w:rPr>
              <w:t>mm</w:t>
            </w:r>
            <w:r>
              <w:rPr>
                <w:rFonts w:hint="eastAsia" w:ascii="Times New Roman" w:hAnsi="Times New Roman"/>
                <w:kern w:val="0"/>
                <w:szCs w:val="21"/>
              </w:rPr>
              <w:t>以下</w:t>
            </w:r>
            <w:r>
              <w:rPr>
                <w:rFonts w:hint="eastAsia" w:ascii="Cambria" w:hAnsi="Cambria"/>
              </w:rPr>
              <w:t>血</w:t>
            </w:r>
            <w:r>
              <w:rPr>
                <w:rFonts w:ascii="Cambria" w:hAnsi="Cambria"/>
              </w:rPr>
              <w:t>管及淋巴管</w:t>
            </w:r>
            <w:r>
              <w:rPr>
                <w:rFonts w:hint="eastAsia" w:ascii="Times New Roman" w:hAnsi="Times New Roman"/>
                <w:kern w:val="0"/>
                <w:szCs w:val="21"/>
              </w:rPr>
              <w:t>的同品牌超声刀头。</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hint="eastAsia" w:ascii="宋体" w:hAnsi="宋体"/>
                <w:szCs w:val="21"/>
              </w:rPr>
            </w:pPr>
            <w:r>
              <w:rPr>
                <w:rFonts w:ascii="Times New Roman" w:hAnsi="Times New Roman"/>
                <w:kern w:val="0"/>
                <w:szCs w:val="21"/>
              </w:rPr>
              <w:t>超声刀头有防粘连涂层</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ascii="Times New Roman" w:hAnsi="Times New Roman"/>
                <w:kern w:val="0"/>
                <w:szCs w:val="21"/>
              </w:rPr>
              <w:t>手柄内含智能芯片，提供系统诊断功能</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ascii="Times New Roman" w:hAnsi="Times New Roman"/>
                <w:kern w:val="0"/>
                <w:szCs w:val="21"/>
              </w:rPr>
              <w:t>激发模式具有：手控、脚控</w:t>
            </w:r>
            <w:r>
              <w:rPr>
                <w:rFonts w:hint="eastAsia" w:ascii="Times New Roman" w:hAnsi="Times New Roman"/>
                <w:kern w:val="0"/>
                <w:szCs w:val="21"/>
                <w:lang w:eastAsia="zh-CN"/>
              </w:rPr>
              <w:t>，</w:t>
            </w:r>
            <w:r>
              <w:rPr>
                <w:rFonts w:hint="eastAsia" w:ascii="Cambria" w:hAnsi="Cambria"/>
              </w:rPr>
              <w:t>脚踏不同开关键之间有间隔板</w:t>
            </w:r>
            <w:r>
              <w:rPr>
                <w:rFonts w:hint="eastAsia" w:ascii="Cambria" w:hAnsi="Cambr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ascii="Times New Roman" w:hAnsi="Times New Roman"/>
                <w:kern w:val="0"/>
                <w:szCs w:val="21"/>
              </w:rPr>
              <w:t>可适配刀头款式多样，</w:t>
            </w:r>
            <w:r>
              <w:rPr>
                <w:rFonts w:hint="eastAsia" w:ascii="Times New Roman" w:hAnsi="Times New Roman"/>
                <w:kern w:val="0"/>
                <w:szCs w:val="21"/>
              </w:rPr>
              <w:t>适配</w:t>
            </w:r>
            <w:r>
              <w:rPr>
                <w:rFonts w:ascii="Times New Roman" w:hAnsi="Times New Roman"/>
                <w:kern w:val="0"/>
                <w:szCs w:val="21"/>
              </w:rPr>
              <w:t>同品牌枪式超声刀头，枪式超声刀具有至少三种杆身长度刀头可供</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13</w:t>
            </w:r>
          </w:p>
        </w:tc>
        <w:tc>
          <w:tcPr>
            <w:tcW w:w="4914" w:type="dxa"/>
            <w:vAlign w:val="center"/>
          </w:tcPr>
          <w:p>
            <w:pPr>
              <w:rPr>
                <w:rFonts w:hint="eastAsia" w:ascii="宋体" w:hAnsi="宋体"/>
                <w:szCs w:val="21"/>
              </w:rPr>
            </w:pPr>
            <w:r>
              <w:rPr>
                <w:rFonts w:ascii="Times New Roman" w:hAnsi="Times New Roman"/>
                <w:kern w:val="0"/>
                <w:szCs w:val="21"/>
              </w:rPr>
              <w:t>可适配同品牌剪式超声刀头，剪刀式超声刀具有至少两种杆身长度刀头可供选择，主要用于开放甲状腺手术、开放乳腺手术、开放胃肠、妇科手术</w:t>
            </w:r>
            <w:r>
              <w:rPr>
                <w:rFonts w:hint="eastAsia" w:ascii="Times New Roman" w:hAnsi="Times New Roman"/>
                <w:kern w:val="0"/>
                <w:szCs w:val="21"/>
              </w:rPr>
              <w:t>等浅表术式。</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14</w:t>
            </w:r>
          </w:p>
        </w:tc>
        <w:tc>
          <w:tcPr>
            <w:tcW w:w="4914" w:type="dxa"/>
            <w:vAlign w:val="center"/>
          </w:tcPr>
          <w:p>
            <w:pPr>
              <w:rPr>
                <w:rFonts w:hint="eastAsia" w:ascii="宋体" w:hAnsi="宋体"/>
                <w:szCs w:val="21"/>
              </w:rPr>
            </w:pPr>
            <w:r>
              <w:rPr>
                <w:rFonts w:ascii="Times New Roman" w:hAnsi="Times New Roman"/>
                <w:kern w:val="0"/>
                <w:szCs w:val="21"/>
              </w:rPr>
              <w:t>可适配无需安装手柄换能器的超声刀头</w:t>
            </w:r>
            <w:r>
              <w:rPr>
                <w:rFonts w:hint="eastAsia" w:ascii="Times New Roman" w:hAnsi="Times New Roman"/>
                <w:kern w:val="0"/>
                <w:szCs w:val="21"/>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15</w:t>
            </w:r>
          </w:p>
        </w:tc>
        <w:tc>
          <w:tcPr>
            <w:tcW w:w="4914" w:type="dxa"/>
            <w:vAlign w:val="center"/>
          </w:tcPr>
          <w:p>
            <w:pPr>
              <w:rPr>
                <w:rFonts w:hint="eastAsia" w:ascii="宋体" w:hAnsi="宋体"/>
                <w:szCs w:val="21"/>
              </w:rPr>
            </w:pPr>
            <w:r>
              <w:rPr>
                <w:rFonts w:ascii="Times New Roman" w:hAnsi="Times New Roman"/>
                <w:kern w:val="0"/>
                <w:szCs w:val="21"/>
              </w:rPr>
              <w:t>超声刀头有弧形金属头端。</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16</w:t>
            </w:r>
          </w:p>
        </w:tc>
        <w:tc>
          <w:tcPr>
            <w:tcW w:w="4914" w:type="dxa"/>
            <w:vAlign w:val="center"/>
          </w:tcPr>
          <w:p>
            <w:pPr>
              <w:rPr>
                <w:rFonts w:hint="eastAsia" w:ascii="宋体" w:hAnsi="宋体"/>
                <w:szCs w:val="21"/>
              </w:rPr>
            </w:pPr>
            <w:r>
              <w:rPr>
                <w:rFonts w:ascii="Times New Roman" w:hAnsi="Times New Roman"/>
                <w:kern w:val="0"/>
                <w:szCs w:val="21"/>
              </w:rPr>
              <w:t>工作时可显示功率大小，刀头工作时有声音提示工作状况。</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17</w:t>
            </w:r>
          </w:p>
        </w:tc>
        <w:tc>
          <w:tcPr>
            <w:tcW w:w="4914" w:type="dxa"/>
            <w:vAlign w:val="center"/>
          </w:tcPr>
          <w:p>
            <w:pPr>
              <w:rPr>
                <w:rFonts w:hint="eastAsia" w:ascii="宋体" w:hAnsi="宋体"/>
                <w:szCs w:val="21"/>
              </w:rPr>
            </w:pPr>
            <w:r>
              <w:rPr>
                <w:rFonts w:ascii="Times New Roman" w:hAnsi="Times New Roman"/>
                <w:kern w:val="0"/>
                <w:szCs w:val="21"/>
              </w:rPr>
              <w:t>配有检测超声换能手柄性能的工具。</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18</w:t>
            </w:r>
          </w:p>
        </w:tc>
        <w:tc>
          <w:tcPr>
            <w:tcW w:w="4914" w:type="dxa"/>
            <w:vAlign w:val="center"/>
          </w:tcPr>
          <w:p>
            <w:pPr>
              <w:rPr>
                <w:rFonts w:hint="eastAsia" w:ascii="宋体" w:hAnsi="宋体"/>
                <w:szCs w:val="21"/>
              </w:rPr>
            </w:pPr>
            <w:r>
              <w:rPr>
                <w:rFonts w:ascii="Times New Roman" w:hAnsi="Times New Roman"/>
                <w:kern w:val="0"/>
                <w:szCs w:val="21"/>
              </w:rPr>
              <w:t>刀头或刀面可以360度旋转</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19</w:t>
            </w:r>
          </w:p>
        </w:tc>
        <w:tc>
          <w:tcPr>
            <w:tcW w:w="4914" w:type="dxa"/>
            <w:vAlign w:val="center"/>
          </w:tcPr>
          <w:p>
            <w:pPr>
              <w:rPr>
                <w:rFonts w:hint="eastAsia" w:ascii="宋体" w:hAnsi="宋体"/>
                <w:szCs w:val="21"/>
              </w:rPr>
            </w:pPr>
            <w:r>
              <w:rPr>
                <w:rFonts w:ascii="Times New Roman" w:hAnsi="Times New Roman"/>
                <w:kern w:val="0"/>
                <w:szCs w:val="21"/>
              </w:rPr>
              <w:t>可兼容的双极刀头具有工形刀钳口</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20</w:t>
            </w:r>
          </w:p>
        </w:tc>
        <w:tc>
          <w:tcPr>
            <w:tcW w:w="4914" w:type="dxa"/>
            <w:vAlign w:val="center"/>
          </w:tcPr>
          <w:p>
            <w:pPr>
              <w:rPr>
                <w:rFonts w:hint="eastAsia" w:ascii="宋体" w:hAnsi="宋体"/>
                <w:szCs w:val="21"/>
              </w:rPr>
            </w:pPr>
            <w:r>
              <w:rPr>
                <w:rFonts w:ascii="Times New Roman" w:hAnsi="Times New Roman"/>
                <w:kern w:val="0"/>
                <w:szCs w:val="21"/>
              </w:rPr>
              <w:t>可适配具备切割和凝闭</w:t>
            </w:r>
            <w:r>
              <w:rPr>
                <w:rFonts w:hint="eastAsia" w:ascii="Times New Roman" w:hAnsi="Times New Roman"/>
                <w:kern w:val="0"/>
                <w:szCs w:val="21"/>
              </w:rPr>
              <w:t>直径</w:t>
            </w:r>
            <w:r>
              <w:rPr>
                <w:rFonts w:ascii="Times New Roman" w:hAnsi="Times New Roman"/>
                <w:kern w:val="0"/>
                <w:szCs w:val="21"/>
              </w:rPr>
              <w:t>7mm</w:t>
            </w:r>
            <w:r>
              <w:rPr>
                <w:rFonts w:hint="eastAsia" w:ascii="Times New Roman" w:hAnsi="Times New Roman"/>
                <w:kern w:val="0"/>
                <w:szCs w:val="21"/>
              </w:rPr>
              <w:t>以及7</w:t>
            </w:r>
            <w:r>
              <w:rPr>
                <w:rFonts w:ascii="Times New Roman" w:hAnsi="Times New Roman"/>
                <w:kern w:val="0"/>
                <w:szCs w:val="21"/>
              </w:rPr>
              <w:t>mm</w:t>
            </w:r>
            <w:r>
              <w:rPr>
                <w:rFonts w:hint="eastAsia" w:ascii="Times New Roman" w:hAnsi="Times New Roman"/>
                <w:kern w:val="0"/>
                <w:szCs w:val="21"/>
              </w:rPr>
              <w:t>以下的</w:t>
            </w:r>
            <w:r>
              <w:rPr>
                <w:rFonts w:ascii="Times New Roman" w:hAnsi="Times New Roman"/>
                <w:kern w:val="0"/>
                <w:szCs w:val="21"/>
              </w:rPr>
              <w:t>脉管能力的双极刀头</w:t>
            </w:r>
            <w:r>
              <w:rPr>
                <w:rFonts w:hint="eastAsia" w:ascii="Times New Roman" w:hAnsi="Times New Roman"/>
                <w:kern w:val="0"/>
                <w:szCs w:val="21"/>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▲21</w:t>
            </w:r>
          </w:p>
        </w:tc>
        <w:tc>
          <w:tcPr>
            <w:tcW w:w="4914" w:type="dxa"/>
            <w:vAlign w:val="center"/>
          </w:tcPr>
          <w:p>
            <w:pPr>
              <w:rPr>
                <w:rFonts w:hint="eastAsia" w:ascii="宋体" w:hAnsi="宋体"/>
                <w:szCs w:val="21"/>
              </w:rPr>
            </w:pPr>
            <w:r>
              <w:rPr>
                <w:rFonts w:ascii="Times New Roman" w:hAnsi="Times New Roman"/>
                <w:kern w:val="0"/>
                <w:szCs w:val="21"/>
              </w:rPr>
              <w:t>可适配的双极刀头</w:t>
            </w:r>
            <w:r>
              <w:rPr>
                <w:rFonts w:hint="eastAsia" w:ascii="Times New Roman" w:hAnsi="Times New Roman"/>
                <w:kern w:val="0"/>
                <w:szCs w:val="21"/>
              </w:rPr>
              <w:t>具有热敏材料，钳</w:t>
            </w:r>
            <w:r>
              <w:rPr>
                <w:rFonts w:ascii="Times New Roman" w:hAnsi="Times New Roman"/>
                <w:kern w:val="0"/>
                <w:szCs w:val="21"/>
              </w:rPr>
              <w:t>口组织温度维持在</w:t>
            </w:r>
            <w:r>
              <w:rPr>
                <w:rFonts w:hint="eastAsia" w:ascii="Times New Roman" w:hAnsi="Times New Roman"/>
                <w:kern w:val="0"/>
                <w:szCs w:val="21"/>
                <w:lang w:eastAsia="zh-CN"/>
              </w:rPr>
              <w:t>≤</w:t>
            </w:r>
            <w:r>
              <w:rPr>
                <w:rFonts w:ascii="Times New Roman" w:hAnsi="Times New Roman"/>
                <w:kern w:val="0"/>
                <w:szCs w:val="21"/>
              </w:rPr>
              <w:t>100℃</w:t>
            </w:r>
            <w:r>
              <w:rPr>
                <w:rFonts w:hint="eastAsia" w:ascii="Times New Roman" w:hAnsi="Times New Roman"/>
                <w:kern w:val="0"/>
                <w:szCs w:val="21"/>
              </w:rPr>
              <w:t>范围</w:t>
            </w:r>
            <w:r>
              <w:rPr>
                <w:rFonts w:hint="eastAsia" w:ascii="Times New Roman" w:hAnsi="Times New Roman"/>
                <w:kern w:val="0"/>
                <w:szCs w:val="21"/>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22</w:t>
            </w:r>
          </w:p>
        </w:tc>
        <w:tc>
          <w:tcPr>
            <w:tcW w:w="4914" w:type="dxa"/>
            <w:vAlign w:val="center"/>
          </w:tcPr>
          <w:p>
            <w:pPr>
              <w:rPr>
                <w:rFonts w:hint="eastAsia" w:ascii="宋体" w:hAnsi="宋体"/>
                <w:szCs w:val="21"/>
              </w:rPr>
            </w:pPr>
            <w:r>
              <w:rPr>
                <w:rFonts w:ascii="Times New Roman" w:hAnsi="Times New Roman"/>
                <w:kern w:val="0"/>
                <w:szCs w:val="21"/>
              </w:rPr>
              <w:t>双极刀头切割和凝闭可以同时进行，集切割、凝闭、抓持、分离于一体。</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pStyle w:val="2"/>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2.电外科能量平台（高频电外科手术系统）</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color w:val="000000"/>
                <w:lang w:val="en-US" w:eastAsia="zh-CN"/>
              </w:rPr>
              <w:t>1</w:t>
            </w:r>
          </w:p>
        </w:tc>
        <w:tc>
          <w:tcPr>
            <w:tcW w:w="4914" w:type="dxa"/>
            <w:vAlign w:val="center"/>
          </w:tcPr>
          <w:p>
            <w:pPr>
              <w:widowControl/>
              <w:rPr>
                <w:rFonts w:hint="eastAsia" w:ascii="宋体" w:hAnsi="宋体"/>
                <w:szCs w:val="21"/>
              </w:rPr>
            </w:pPr>
            <w:r>
              <w:rPr>
                <w:rFonts w:hint="eastAsia"/>
              </w:rPr>
              <w:t>具有多种电凝模式：双极强力电凝、至少二档效果调节；双极柔和电凝、至少八档效果调节；带自动停止的双极柔和电凝、至少八档效果调节；</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color w:val="000000"/>
                <w:lang w:val="en-US" w:eastAsia="zh-CN"/>
              </w:rPr>
              <w:t>2</w:t>
            </w:r>
          </w:p>
        </w:tc>
        <w:tc>
          <w:tcPr>
            <w:tcW w:w="4914" w:type="dxa"/>
            <w:vAlign w:val="center"/>
          </w:tcPr>
          <w:p>
            <w:pPr>
              <w:widowControl/>
              <w:rPr>
                <w:rFonts w:hint="eastAsia" w:ascii="宋体" w:hAnsi="宋体"/>
                <w:szCs w:val="21"/>
              </w:rPr>
            </w:pPr>
            <w:r>
              <w:rPr>
                <w:rFonts w:hint="eastAsia"/>
              </w:rPr>
              <w:t>带自动停止的血管闭合模式、至少四档效果调节；</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color w:val="000000"/>
              </w:rPr>
              <w:t>▲</w:t>
            </w:r>
            <w:r>
              <w:rPr>
                <w:rFonts w:hint="eastAsia"/>
                <w:b/>
                <w:bCs/>
                <w:color w:val="000000"/>
                <w:lang w:val="en-US" w:eastAsia="zh-CN"/>
              </w:rPr>
              <w:t>3</w:t>
            </w:r>
          </w:p>
        </w:tc>
        <w:tc>
          <w:tcPr>
            <w:tcW w:w="4914" w:type="dxa"/>
            <w:vAlign w:val="center"/>
          </w:tcPr>
          <w:p>
            <w:pPr>
              <w:widowControl/>
              <w:rPr>
                <w:rFonts w:hint="eastAsia" w:ascii="宋体" w:hAnsi="宋体"/>
                <w:b/>
                <w:bCs/>
                <w:color w:val="FF0000"/>
                <w:szCs w:val="21"/>
              </w:rPr>
            </w:pPr>
            <w:r>
              <w:rPr>
                <w:rFonts w:hint="eastAsia"/>
              </w:rPr>
              <w:t>具有单极模式</w:t>
            </w:r>
            <w:r>
              <w:rPr>
                <w:rFonts w:hint="eastAsia" w:ascii="宋体" w:hAnsi="宋体" w:cs="TimesNewRoman"/>
                <w:kern w:val="0"/>
                <w:sz w:val="24"/>
              </w:rPr>
              <w:t>，</w:t>
            </w:r>
            <w:r>
              <w:rPr>
                <w:rFonts w:hint="eastAsia"/>
              </w:rPr>
              <w:t>双极模式，等离子电切模块、大血管闭合钳、大血管闭合离断刀、双极电凝电切剪、双极电切、双极柔和电凝、双极强力电凝功能；</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color w:val="000000"/>
                <w:lang w:val="en-US" w:eastAsia="zh-CN"/>
              </w:rPr>
              <w:t>4</w:t>
            </w:r>
          </w:p>
        </w:tc>
        <w:tc>
          <w:tcPr>
            <w:tcW w:w="4914" w:type="dxa"/>
            <w:vAlign w:val="center"/>
          </w:tcPr>
          <w:p>
            <w:pPr>
              <w:widowControl/>
              <w:rPr>
                <w:rFonts w:hint="eastAsia" w:ascii="宋体" w:hAnsi="宋体"/>
                <w:b/>
                <w:bCs/>
                <w:color w:val="FF0000"/>
                <w:szCs w:val="21"/>
              </w:rPr>
            </w:pPr>
            <w:r>
              <w:rPr>
                <w:rFonts w:hint="eastAsia"/>
              </w:rPr>
              <w:t>具备软、硬件升级功能；能进行水刀、氩气刀、烟雾净化系统模块的升级。</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color w:val="000000"/>
                <w:lang w:val="en-US" w:eastAsia="zh-CN"/>
              </w:rPr>
              <w:t>5</w:t>
            </w:r>
          </w:p>
        </w:tc>
        <w:tc>
          <w:tcPr>
            <w:tcW w:w="4914" w:type="dxa"/>
            <w:vAlign w:val="center"/>
          </w:tcPr>
          <w:p>
            <w:pPr>
              <w:widowControl/>
              <w:rPr>
                <w:rFonts w:hint="eastAsia" w:ascii="宋体" w:hAnsi="宋体"/>
                <w:szCs w:val="21"/>
              </w:rPr>
            </w:pPr>
            <w:r>
              <w:rPr>
                <w:rFonts w:hint="eastAsia"/>
              </w:rPr>
              <w:t>整机微电脑控制，彩色液晶显示，中文操作界面；中文故障提示及操作建议；</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rPr>
              <w:t>▲</w:t>
            </w:r>
            <w:r>
              <w:rPr>
                <w:rFonts w:hint="eastAsia"/>
                <w:b/>
                <w:bCs/>
                <w:color w:val="000000"/>
                <w:lang w:val="en-US" w:eastAsia="zh-CN"/>
              </w:rPr>
              <w:t>6</w:t>
            </w:r>
          </w:p>
        </w:tc>
        <w:tc>
          <w:tcPr>
            <w:tcW w:w="4914" w:type="dxa"/>
            <w:vAlign w:val="center"/>
          </w:tcPr>
          <w:p>
            <w:pPr>
              <w:widowControl/>
              <w:rPr>
                <w:rFonts w:hint="eastAsia" w:ascii="宋体" w:hAnsi="宋体"/>
                <w:szCs w:val="21"/>
              </w:rPr>
            </w:pPr>
            <w:r>
              <w:rPr>
                <w:rFonts w:hint="eastAsia"/>
              </w:rPr>
              <w:t>可储存至少198个程序，通过无菌区的普通单极倒闭进行程序切换，并实现模式功能、功率效果设定及脚踏分配设置切换</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color w:val="000000"/>
                <w:lang w:val="en-US" w:eastAsia="zh-CN"/>
              </w:rPr>
              <w:t>7</w:t>
            </w:r>
          </w:p>
        </w:tc>
        <w:tc>
          <w:tcPr>
            <w:tcW w:w="4914" w:type="dxa"/>
            <w:vAlign w:val="center"/>
          </w:tcPr>
          <w:p>
            <w:pPr>
              <w:widowControl/>
              <w:rPr>
                <w:rFonts w:hint="eastAsia" w:ascii="宋体" w:hAnsi="宋体"/>
                <w:szCs w:val="21"/>
              </w:rPr>
            </w:pPr>
            <w:r>
              <w:rPr>
                <w:rFonts w:hint="eastAsia"/>
                <w:b/>
                <w:bCs/>
              </w:rPr>
              <w:t>电外科能量平台主机</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.1</w:t>
            </w:r>
          </w:p>
        </w:tc>
        <w:tc>
          <w:tcPr>
            <w:tcW w:w="4914" w:type="dxa"/>
            <w:vAlign w:val="center"/>
          </w:tcPr>
          <w:p>
            <w:pPr>
              <w:widowControl/>
              <w:rPr>
                <w:rFonts w:hint="eastAsia" w:ascii="宋体" w:hAnsi="宋体"/>
                <w:szCs w:val="21"/>
              </w:rPr>
            </w:pPr>
            <w:r>
              <w:rPr>
                <w:rFonts w:hint="eastAsia"/>
              </w:rPr>
              <w:t>电切最大输出功率：300W；</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.2</w:t>
            </w:r>
          </w:p>
        </w:tc>
        <w:tc>
          <w:tcPr>
            <w:tcW w:w="4914" w:type="dxa"/>
            <w:vAlign w:val="center"/>
          </w:tcPr>
          <w:p>
            <w:pPr>
              <w:widowControl/>
              <w:rPr>
                <w:rFonts w:hint="eastAsia" w:ascii="宋体" w:hAnsi="宋体"/>
                <w:szCs w:val="21"/>
              </w:rPr>
            </w:pPr>
            <w:r>
              <w:rPr>
                <w:rFonts w:hint="eastAsia"/>
              </w:rPr>
              <w:t>电凝最大输出功率：200W；</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.3</w:t>
            </w:r>
          </w:p>
        </w:tc>
        <w:tc>
          <w:tcPr>
            <w:tcW w:w="4914" w:type="dxa"/>
            <w:vAlign w:val="center"/>
          </w:tcPr>
          <w:p>
            <w:pPr>
              <w:widowControl/>
              <w:rPr>
                <w:rFonts w:hint="eastAsia" w:ascii="宋体" w:hAnsi="宋体"/>
                <w:szCs w:val="21"/>
              </w:rPr>
            </w:pPr>
            <w:r>
              <w:rPr>
                <w:rFonts w:hint="eastAsia"/>
              </w:rPr>
              <w:t>负极板安全系统：具有中性负极板安全系统</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.4</w:t>
            </w:r>
          </w:p>
        </w:tc>
        <w:tc>
          <w:tcPr>
            <w:tcW w:w="4914" w:type="dxa"/>
            <w:vAlign w:val="center"/>
          </w:tcPr>
          <w:p>
            <w:pPr>
              <w:widowControl/>
              <w:rPr>
                <w:rFonts w:hint="eastAsia" w:ascii="宋体" w:hAnsi="宋体"/>
                <w:szCs w:val="21"/>
              </w:rPr>
            </w:pPr>
            <w:r>
              <w:rPr>
                <w:rFonts w:hint="eastAsia"/>
              </w:rPr>
              <w:t>工作频率输出：≤350KHZ；</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.5</w:t>
            </w:r>
          </w:p>
        </w:tc>
        <w:tc>
          <w:tcPr>
            <w:tcW w:w="4914" w:type="dxa"/>
            <w:vAlign w:val="center"/>
          </w:tcPr>
          <w:p>
            <w:pPr>
              <w:widowControl/>
              <w:rPr>
                <w:rFonts w:hint="eastAsia" w:ascii="宋体" w:hAnsi="宋体"/>
                <w:szCs w:val="21"/>
              </w:rPr>
            </w:pPr>
            <w:r>
              <w:rPr>
                <w:rFonts w:hint="eastAsia"/>
              </w:rPr>
              <w:t>电源电压：100V-120V / 220V-240V +/-10%；</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.6</w:t>
            </w:r>
          </w:p>
        </w:tc>
        <w:tc>
          <w:tcPr>
            <w:tcW w:w="4914" w:type="dxa"/>
            <w:vAlign w:val="center"/>
          </w:tcPr>
          <w:p>
            <w:pPr>
              <w:widowControl/>
              <w:rPr>
                <w:rFonts w:hint="eastAsia" w:ascii="宋体" w:hAnsi="宋体"/>
                <w:szCs w:val="21"/>
              </w:rPr>
            </w:pPr>
            <w:r>
              <w:rPr>
                <w:rFonts w:hint="eastAsia"/>
              </w:rPr>
              <w:t>最大输出时功率：500W/920VA；</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.7</w:t>
            </w:r>
          </w:p>
        </w:tc>
        <w:tc>
          <w:tcPr>
            <w:tcW w:w="4914" w:type="dxa"/>
            <w:vAlign w:val="center"/>
          </w:tcPr>
          <w:p>
            <w:pPr>
              <w:widowControl/>
              <w:rPr>
                <w:rFonts w:hint="eastAsia" w:ascii="宋体" w:hAnsi="宋体"/>
                <w:szCs w:val="21"/>
              </w:rPr>
            </w:pPr>
            <w:r>
              <w:rPr>
                <w:rFonts w:hint="eastAsia"/>
              </w:rPr>
              <w:t>接地：提供标准接地装置；</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color w:val="000000"/>
                <w:lang w:val="en-US" w:eastAsia="zh-CN"/>
              </w:rPr>
              <w:t>7</w:t>
            </w:r>
            <w:r>
              <w:rPr>
                <w:rFonts w:hint="eastAsia"/>
                <w:color w:val="000000"/>
              </w:rPr>
              <w:t>.8</w:t>
            </w:r>
          </w:p>
        </w:tc>
        <w:tc>
          <w:tcPr>
            <w:tcW w:w="4914" w:type="dxa"/>
            <w:vAlign w:val="center"/>
          </w:tcPr>
          <w:p>
            <w:pPr>
              <w:widowControl/>
              <w:rPr>
                <w:rFonts w:hint="eastAsia" w:ascii="宋体" w:hAnsi="宋体"/>
                <w:szCs w:val="21"/>
              </w:rPr>
            </w:pPr>
            <w:r>
              <w:rPr>
                <w:rFonts w:hint="eastAsia"/>
              </w:rPr>
              <w:t>保险丝：T8A/4A；</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lang w:val="en-US" w:eastAsia="zh-CN"/>
              </w:rPr>
              <w:t>8</w:t>
            </w:r>
          </w:p>
        </w:tc>
        <w:tc>
          <w:tcPr>
            <w:tcW w:w="4914" w:type="dxa"/>
            <w:vAlign w:val="center"/>
          </w:tcPr>
          <w:p>
            <w:pPr>
              <w:widowControl/>
              <w:rPr>
                <w:rFonts w:hint="eastAsia" w:ascii="宋体" w:hAnsi="宋体"/>
                <w:szCs w:val="21"/>
              </w:rPr>
            </w:pPr>
            <w:r>
              <w:rPr>
                <w:rFonts w:hint="eastAsia"/>
                <w:b/>
                <w:bCs/>
              </w:rPr>
              <w:t>大血管闭合钳</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.1</w:t>
            </w:r>
          </w:p>
        </w:tc>
        <w:tc>
          <w:tcPr>
            <w:tcW w:w="4914" w:type="dxa"/>
            <w:vAlign w:val="center"/>
          </w:tcPr>
          <w:p>
            <w:pPr>
              <w:widowControl/>
              <w:rPr>
                <w:rFonts w:hint="eastAsia" w:ascii="宋体" w:hAnsi="宋体"/>
                <w:szCs w:val="21"/>
              </w:rPr>
            </w:pPr>
            <w:r>
              <w:rPr>
                <w:rFonts w:hint="eastAsia"/>
              </w:rPr>
              <w:t>可以直接闭合7MM以下（含7MM）的血管</w:t>
            </w:r>
            <w:r>
              <w:rPr>
                <w:rFonts w:hint="eastAs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.2</w:t>
            </w:r>
          </w:p>
        </w:tc>
        <w:tc>
          <w:tcPr>
            <w:tcW w:w="4914" w:type="dxa"/>
            <w:vAlign w:val="center"/>
          </w:tcPr>
          <w:p>
            <w:pPr>
              <w:widowControl/>
              <w:rPr>
                <w:rFonts w:hint="eastAsia" w:ascii="宋体" w:hAnsi="宋体"/>
                <w:szCs w:val="21"/>
              </w:rPr>
            </w:pPr>
            <w:r>
              <w:rPr>
                <w:rFonts w:hint="eastAsia"/>
              </w:rPr>
              <w:t>血管闭合情况有声音提示；</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.3</w:t>
            </w:r>
          </w:p>
        </w:tc>
        <w:tc>
          <w:tcPr>
            <w:tcW w:w="4914" w:type="dxa"/>
            <w:vAlign w:val="center"/>
          </w:tcPr>
          <w:p>
            <w:pPr>
              <w:widowControl/>
              <w:rPr>
                <w:rFonts w:hint="eastAsia" w:ascii="宋体" w:hAnsi="宋体"/>
                <w:szCs w:val="21"/>
              </w:rPr>
            </w:pPr>
            <w:r>
              <w:rPr>
                <w:rFonts w:hint="eastAsia"/>
              </w:rPr>
              <w:t>血管闭合器械可以高温、高压消毒，重复使用；钳口及握把均可360度旋转，手柄、外鞘、钳芯可拆卸设计。</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.4</w:t>
            </w:r>
          </w:p>
        </w:tc>
        <w:tc>
          <w:tcPr>
            <w:tcW w:w="4914" w:type="dxa"/>
            <w:vAlign w:val="center"/>
          </w:tcPr>
          <w:p>
            <w:pPr>
              <w:widowControl/>
              <w:rPr>
                <w:rFonts w:hint="eastAsia" w:ascii="宋体" w:hAnsi="宋体"/>
                <w:szCs w:val="21"/>
              </w:rPr>
            </w:pPr>
            <w:r>
              <w:rPr>
                <w:rFonts w:hint="eastAsia"/>
              </w:rPr>
              <w:t>器械</w:t>
            </w:r>
            <w:r>
              <w:rPr>
                <w:rFonts w:hint="eastAsia"/>
                <w:lang w:eastAsia="zh-CN"/>
              </w:rPr>
              <w:t>具有</w:t>
            </w:r>
            <w:r>
              <w:rPr>
                <w:rFonts w:hint="eastAsia"/>
              </w:rPr>
              <w:t>自动识别</w:t>
            </w:r>
            <w:r>
              <w:rPr>
                <w:rFonts w:hint="eastAsia"/>
                <w:lang w:eastAsia="zh-CN"/>
              </w:rPr>
              <w:t>、</w:t>
            </w:r>
            <w:r>
              <w:rPr>
                <w:rFonts w:hint="eastAsia"/>
              </w:rPr>
              <w:t>自动停止</w:t>
            </w:r>
            <w:r>
              <w:rPr>
                <w:rFonts w:hint="eastAsia"/>
                <w:lang w:eastAsia="zh-CN"/>
              </w:rPr>
              <w:t>功能</w:t>
            </w:r>
            <w:r>
              <w:rPr>
                <w:rFonts w:hint="eastAsia"/>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.5</w:t>
            </w:r>
          </w:p>
        </w:tc>
        <w:tc>
          <w:tcPr>
            <w:tcW w:w="4914" w:type="dxa"/>
            <w:vAlign w:val="center"/>
          </w:tcPr>
          <w:p>
            <w:pPr>
              <w:widowControl/>
              <w:rPr>
                <w:rFonts w:hint="eastAsia" w:ascii="宋体" w:hAnsi="宋体"/>
                <w:szCs w:val="21"/>
              </w:rPr>
            </w:pPr>
            <w:r>
              <w:rPr>
                <w:rFonts w:hint="eastAsia"/>
              </w:rPr>
              <w:t>腔镜下器械带防滑纹，并有开窗型（带防滑纹和不带防滑纹）、马里兰型（带防滑纹和不带防滑纹）、凯利型多种选择。</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8</w:t>
            </w:r>
            <w:r>
              <w:rPr>
                <w:rFonts w:hint="eastAsia"/>
              </w:rPr>
              <w:t>.6</w:t>
            </w:r>
          </w:p>
        </w:tc>
        <w:tc>
          <w:tcPr>
            <w:tcW w:w="4914" w:type="dxa"/>
            <w:vAlign w:val="center"/>
          </w:tcPr>
          <w:p>
            <w:pPr>
              <w:widowControl/>
              <w:rPr>
                <w:rFonts w:hint="eastAsia" w:ascii="宋体" w:hAnsi="宋体"/>
                <w:szCs w:val="21"/>
              </w:rPr>
            </w:pPr>
            <w:r>
              <w:rPr>
                <w:rFonts w:hint="eastAsia"/>
              </w:rPr>
              <w:t>具备至少4档效果调节能力，最大有效输出功率300瓦</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lang w:val="en-US" w:eastAsia="zh-CN"/>
              </w:rPr>
              <w:t>9</w:t>
            </w:r>
          </w:p>
        </w:tc>
        <w:tc>
          <w:tcPr>
            <w:tcW w:w="4914" w:type="dxa"/>
            <w:vAlign w:val="center"/>
          </w:tcPr>
          <w:p>
            <w:pPr>
              <w:widowControl/>
              <w:rPr>
                <w:rFonts w:hint="eastAsia" w:ascii="宋体" w:hAnsi="宋体"/>
                <w:szCs w:val="21"/>
              </w:rPr>
            </w:pPr>
            <w:r>
              <w:rPr>
                <w:rFonts w:hint="eastAsia"/>
                <w:b/>
                <w:bCs/>
              </w:rPr>
              <w:t>双极器械——大血管闭合离断刀</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9</w:t>
            </w:r>
            <w:r>
              <w:rPr>
                <w:rFonts w:hint="eastAsia"/>
              </w:rPr>
              <w:t>.1</w:t>
            </w:r>
          </w:p>
        </w:tc>
        <w:tc>
          <w:tcPr>
            <w:tcW w:w="4914" w:type="dxa"/>
            <w:vAlign w:val="center"/>
          </w:tcPr>
          <w:p>
            <w:pPr>
              <w:widowControl/>
              <w:rPr>
                <w:rFonts w:hint="eastAsia" w:ascii="宋体" w:hAnsi="宋体"/>
                <w:szCs w:val="21"/>
              </w:rPr>
            </w:pPr>
            <w:r>
              <w:rPr>
                <w:rFonts w:hint="eastAsia"/>
              </w:rPr>
              <w:t>带推刀器械钳口π型设计</w:t>
            </w:r>
            <w:r>
              <w:rPr>
                <w:rFonts w:hint="eastAs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9</w:t>
            </w:r>
            <w:r>
              <w:rPr>
                <w:rFonts w:hint="eastAsia"/>
              </w:rPr>
              <w:t>.2</w:t>
            </w:r>
          </w:p>
        </w:tc>
        <w:tc>
          <w:tcPr>
            <w:tcW w:w="4914" w:type="dxa"/>
            <w:vAlign w:val="center"/>
          </w:tcPr>
          <w:p>
            <w:pPr>
              <w:widowControl/>
              <w:rPr>
                <w:rFonts w:hint="eastAsia" w:ascii="宋体" w:hAnsi="宋体"/>
                <w:szCs w:val="21"/>
              </w:rPr>
            </w:pPr>
            <w:r>
              <w:rPr>
                <w:rFonts w:hint="eastAsia"/>
              </w:rPr>
              <w:t>器械自动识别，即插即用。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lang w:val="en-US" w:eastAsia="zh-CN"/>
              </w:rPr>
              <w:t>9</w:t>
            </w:r>
            <w:r>
              <w:rPr>
                <w:rFonts w:hint="eastAsia"/>
              </w:rPr>
              <w:t>.3</w:t>
            </w:r>
          </w:p>
        </w:tc>
        <w:tc>
          <w:tcPr>
            <w:tcW w:w="4914" w:type="dxa"/>
            <w:vAlign w:val="center"/>
          </w:tcPr>
          <w:p>
            <w:pPr>
              <w:widowControl/>
              <w:rPr>
                <w:rFonts w:hint="eastAsia" w:ascii="宋体" w:hAnsi="宋体"/>
                <w:szCs w:val="21"/>
              </w:rPr>
            </w:pPr>
            <w:r>
              <w:rPr>
                <w:rFonts w:hint="eastAsia"/>
              </w:rPr>
              <w:t>防止热扩散</w:t>
            </w:r>
            <w:r>
              <w:rPr>
                <w:rFonts w:hint="eastAsia"/>
                <w:lang w:eastAsia="zh-CN"/>
              </w:rPr>
              <w:t>功能</w:t>
            </w:r>
            <w:r>
              <w:rPr>
                <w:rFonts w:hint="eastAsia"/>
              </w:rPr>
              <w:t>，边缘损伤小于2mm。</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9</w:t>
            </w:r>
            <w:r>
              <w:rPr>
                <w:rFonts w:hint="eastAsia"/>
              </w:rPr>
              <w:t>.4</w:t>
            </w:r>
          </w:p>
        </w:tc>
        <w:tc>
          <w:tcPr>
            <w:tcW w:w="4914" w:type="dxa"/>
            <w:vAlign w:val="center"/>
          </w:tcPr>
          <w:p>
            <w:pPr>
              <w:widowControl/>
              <w:rPr>
                <w:rFonts w:hint="eastAsia" w:ascii="宋体" w:hAnsi="宋体"/>
                <w:szCs w:val="21"/>
              </w:rPr>
            </w:pPr>
            <w:r>
              <w:rPr>
                <w:rFonts w:hint="eastAsia"/>
              </w:rPr>
              <w:t>可手控、脚控启动，器械可360度旋转，单次切割长度：</w:t>
            </w:r>
            <w:r>
              <w:rPr>
                <w:rFonts w:hint="eastAsia"/>
                <w:lang w:eastAsia="zh-CN"/>
              </w:rPr>
              <w:t>≥</w:t>
            </w:r>
            <w:r>
              <w:rPr>
                <w:rFonts w:hint="eastAsia"/>
              </w:rPr>
              <w:t>18mm；有锁推刀的限位锁。</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9</w:t>
            </w:r>
            <w:r>
              <w:rPr>
                <w:rFonts w:hint="eastAsia"/>
              </w:rPr>
              <w:t>.5</w:t>
            </w:r>
          </w:p>
        </w:tc>
        <w:tc>
          <w:tcPr>
            <w:tcW w:w="4914" w:type="dxa"/>
            <w:vAlign w:val="center"/>
          </w:tcPr>
          <w:p>
            <w:pPr>
              <w:widowControl/>
              <w:rPr>
                <w:rFonts w:hint="eastAsia" w:ascii="宋体" w:hAnsi="宋体"/>
                <w:szCs w:val="21"/>
              </w:rPr>
            </w:pPr>
            <w:r>
              <w:rPr>
                <w:rFonts w:hint="eastAsia"/>
              </w:rPr>
              <w:t>器械头端闭合离断距离长≤18mm。</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9</w:t>
            </w:r>
            <w:r>
              <w:rPr>
                <w:rFonts w:hint="eastAsia"/>
              </w:rPr>
              <w:t>.6</w:t>
            </w:r>
          </w:p>
        </w:tc>
        <w:tc>
          <w:tcPr>
            <w:tcW w:w="4914" w:type="dxa"/>
            <w:vAlign w:val="center"/>
          </w:tcPr>
          <w:p>
            <w:pPr>
              <w:widowControl/>
              <w:rPr>
                <w:rFonts w:hint="eastAsia" w:ascii="宋体" w:hAnsi="宋体"/>
                <w:szCs w:val="21"/>
              </w:rPr>
            </w:pPr>
            <w:r>
              <w:rPr>
                <w:rFonts w:hint="eastAsia"/>
              </w:rPr>
              <w:t>一次性配件提供至少有三种规格型号，分别是开放手术（200mm +/-5%轴长），腔镜手术（350mm+/-5%轴长），加长腔镜（肥胖病人）（450mm+/-5%轴长）。</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lang w:val="en-US" w:eastAsia="zh-CN"/>
              </w:rPr>
              <w:t>10</w:t>
            </w:r>
          </w:p>
        </w:tc>
        <w:tc>
          <w:tcPr>
            <w:tcW w:w="4914" w:type="dxa"/>
            <w:vAlign w:val="center"/>
          </w:tcPr>
          <w:p>
            <w:pPr>
              <w:widowControl/>
              <w:rPr>
                <w:rFonts w:hint="eastAsia" w:ascii="宋体" w:hAnsi="宋体"/>
                <w:szCs w:val="21"/>
              </w:rPr>
            </w:pPr>
            <w:r>
              <w:rPr>
                <w:rFonts w:hint="eastAsia"/>
                <w:b/>
                <w:bCs/>
              </w:rPr>
              <w:t>双极电切电凝剪</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10</w:t>
            </w:r>
            <w:r>
              <w:rPr>
                <w:rFonts w:hint="eastAsia"/>
              </w:rPr>
              <w:t>.1</w:t>
            </w:r>
          </w:p>
        </w:tc>
        <w:tc>
          <w:tcPr>
            <w:tcW w:w="4914" w:type="dxa"/>
            <w:vAlign w:val="center"/>
          </w:tcPr>
          <w:p>
            <w:pPr>
              <w:widowControl/>
              <w:rPr>
                <w:rFonts w:hint="eastAsia" w:ascii="宋体" w:hAnsi="宋体"/>
                <w:szCs w:val="21"/>
              </w:rPr>
            </w:pPr>
            <w:r>
              <w:rPr>
                <w:rFonts w:hint="eastAsia"/>
              </w:rPr>
              <w:t>器械可高温、高压消毒重复使用。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10</w:t>
            </w:r>
            <w:r>
              <w:rPr>
                <w:rFonts w:hint="eastAsia"/>
              </w:rPr>
              <w:t>.2</w:t>
            </w:r>
          </w:p>
        </w:tc>
        <w:tc>
          <w:tcPr>
            <w:tcW w:w="4914" w:type="dxa"/>
            <w:vAlign w:val="center"/>
          </w:tcPr>
          <w:p>
            <w:pPr>
              <w:widowControl/>
              <w:rPr>
                <w:rFonts w:hint="eastAsia" w:ascii="宋体" w:hAnsi="宋体"/>
                <w:szCs w:val="21"/>
              </w:rPr>
            </w:pPr>
            <w:r>
              <w:rPr>
                <w:rFonts w:hint="eastAsia"/>
                <w:color w:val="auto"/>
              </w:rPr>
              <w:t>腔镜器械由剪芯、套管、手柄、连线组成，如有损坏可独立更换每个配件。</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10</w:t>
            </w:r>
            <w:r>
              <w:rPr>
                <w:rFonts w:hint="eastAsia"/>
              </w:rPr>
              <w:t>.3</w:t>
            </w:r>
          </w:p>
        </w:tc>
        <w:tc>
          <w:tcPr>
            <w:tcW w:w="4914" w:type="dxa"/>
            <w:vAlign w:val="center"/>
          </w:tcPr>
          <w:p>
            <w:pPr>
              <w:widowControl/>
              <w:rPr>
                <w:rFonts w:hint="eastAsia" w:ascii="宋体" w:hAnsi="宋体"/>
                <w:szCs w:val="21"/>
              </w:rPr>
            </w:pPr>
            <w:r>
              <w:rPr>
                <w:rFonts w:hint="eastAsia"/>
                <w:color w:val="auto"/>
              </w:rPr>
              <w:t>器械自动识别，即插即用。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lang w:val="en-US" w:eastAsia="zh-CN"/>
              </w:rPr>
              <w:t>10</w:t>
            </w:r>
            <w:r>
              <w:rPr>
                <w:rFonts w:hint="eastAsia"/>
              </w:rPr>
              <w:t>.4</w:t>
            </w:r>
          </w:p>
        </w:tc>
        <w:tc>
          <w:tcPr>
            <w:tcW w:w="4914" w:type="dxa"/>
            <w:vAlign w:val="center"/>
          </w:tcPr>
          <w:p>
            <w:pPr>
              <w:widowControl/>
              <w:rPr>
                <w:rFonts w:hint="eastAsia" w:ascii="宋体" w:hAnsi="宋体"/>
                <w:szCs w:val="21"/>
              </w:rPr>
            </w:pPr>
            <w:r>
              <w:rPr>
                <w:rFonts w:hint="eastAsia"/>
                <w:color w:val="auto"/>
              </w:rPr>
              <w:t>能够完成腔镜下0-3mm</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血管组织的边凝边切、分离功能。</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lang w:val="en-US" w:eastAsia="zh-CN"/>
              </w:rPr>
              <w:t>11</w:t>
            </w:r>
          </w:p>
        </w:tc>
        <w:tc>
          <w:tcPr>
            <w:tcW w:w="4914" w:type="dxa"/>
            <w:vAlign w:val="center"/>
          </w:tcPr>
          <w:p>
            <w:pPr>
              <w:widowControl/>
              <w:rPr>
                <w:rFonts w:hint="eastAsia" w:ascii="宋体" w:hAnsi="宋体"/>
                <w:szCs w:val="21"/>
              </w:rPr>
            </w:pPr>
            <w:r>
              <w:rPr>
                <w:rFonts w:hint="eastAsia"/>
                <w:b/>
                <w:bCs/>
                <w:color w:val="auto"/>
              </w:rPr>
              <w:t>等离子电切系统</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11</w:t>
            </w:r>
            <w:r>
              <w:rPr>
                <w:rFonts w:hint="eastAsia"/>
              </w:rPr>
              <w:t>.1</w:t>
            </w:r>
          </w:p>
        </w:tc>
        <w:tc>
          <w:tcPr>
            <w:tcW w:w="4914" w:type="dxa"/>
            <w:vAlign w:val="center"/>
          </w:tcPr>
          <w:p>
            <w:pPr>
              <w:widowControl/>
              <w:rPr>
                <w:rFonts w:hint="eastAsia" w:ascii="宋体" w:hAnsi="宋体"/>
                <w:szCs w:val="21"/>
              </w:rPr>
            </w:pPr>
            <w:r>
              <w:rPr>
                <w:rFonts w:hint="eastAsia"/>
                <w:lang w:eastAsia="zh-CN"/>
              </w:rPr>
              <w:t>至少</w:t>
            </w:r>
            <w:r>
              <w:rPr>
                <w:rFonts w:hint="eastAsia"/>
              </w:rPr>
              <w:t>两种切割模式可选，适用不同阻抗环境，至少8档效果调节，功率自动调节，最大输出功率370W。</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lang w:val="en-US" w:eastAsia="zh-CN"/>
              </w:rPr>
              <w:t>11</w:t>
            </w:r>
            <w:r>
              <w:rPr>
                <w:rFonts w:hint="eastAsia"/>
              </w:rPr>
              <w:t>.2</w:t>
            </w:r>
          </w:p>
        </w:tc>
        <w:tc>
          <w:tcPr>
            <w:tcW w:w="4914" w:type="dxa"/>
            <w:vAlign w:val="center"/>
          </w:tcPr>
          <w:p>
            <w:pPr>
              <w:widowControl/>
              <w:rPr>
                <w:rFonts w:hint="eastAsia" w:ascii="宋体" w:hAnsi="宋体"/>
                <w:szCs w:val="21"/>
              </w:rPr>
            </w:pPr>
            <w:r>
              <w:rPr>
                <w:rFonts w:hint="eastAsia"/>
              </w:rPr>
              <w:t>可兼容不同硬镜品牌双极切割手件。即插即用，器械自动识别。</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pStyle w:val="2"/>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3.血液回收仪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hint="eastAsia" w:ascii="宋体" w:hAnsi="宋体"/>
                <w:szCs w:val="21"/>
              </w:rPr>
              <w:t>连续血液处理，能够不间断处理血液。</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w:t>
            </w:r>
          </w:p>
        </w:tc>
        <w:tc>
          <w:tcPr>
            <w:tcW w:w="4914" w:type="dxa"/>
            <w:vAlign w:val="center"/>
          </w:tcPr>
          <w:p>
            <w:pPr>
              <w:rPr>
                <w:rFonts w:hint="eastAsia" w:ascii="宋体" w:hAnsi="宋体"/>
                <w:szCs w:val="21"/>
              </w:rPr>
            </w:pPr>
            <w:r>
              <w:rPr>
                <w:rFonts w:hint="eastAsia" w:ascii="宋体" w:hAnsi="宋体"/>
                <w:szCs w:val="21"/>
              </w:rPr>
              <w:t>具有</w:t>
            </w:r>
            <w:r>
              <w:rPr>
                <w:rFonts w:hint="eastAsia" w:ascii="宋体" w:hAnsi="宋体"/>
                <w:szCs w:val="21"/>
                <w:lang w:eastAsia="zh-CN"/>
              </w:rPr>
              <w:t>至少</w:t>
            </w:r>
            <w:r>
              <w:rPr>
                <w:rFonts w:hint="eastAsia" w:ascii="宋体" w:hAnsi="宋体"/>
                <w:szCs w:val="21"/>
              </w:rPr>
              <w:t>三个泵，失血泵、洗涤红细胞（PRC）泵和盐水泵，每泵各有独立的管路，</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b/>
                <w:bCs/>
              </w:rPr>
              <w:t>▲3</w:t>
            </w:r>
          </w:p>
        </w:tc>
        <w:tc>
          <w:tcPr>
            <w:tcW w:w="4914" w:type="dxa"/>
            <w:vAlign w:val="center"/>
          </w:tcPr>
          <w:p>
            <w:pPr>
              <w:rPr>
                <w:rFonts w:hint="eastAsia" w:ascii="宋体" w:hAnsi="宋体"/>
                <w:b/>
                <w:bCs/>
                <w:color w:val="FF0000"/>
                <w:szCs w:val="21"/>
              </w:rPr>
            </w:pPr>
            <w:r>
              <w:rPr>
                <w:rFonts w:hint="eastAsia" w:ascii="宋体" w:hAnsi="宋体"/>
                <w:szCs w:val="21"/>
              </w:rPr>
              <w:t>离心机转速不高于2400转／分。</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ascii="宋体" w:hAnsi="宋体"/>
                <w:szCs w:val="21"/>
              </w:rPr>
              <w:t>离心盘半径&gt;10cm</w:t>
            </w:r>
            <w:r>
              <w:rPr>
                <w:rFonts w:hint="eastAsia" w:ascii="宋体" w:hAnsi="宋体"/>
                <w:szCs w:val="21"/>
                <w:lang w:val="sv-SE"/>
              </w:rPr>
              <w:t>。</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hint="eastAsia" w:ascii="宋体" w:hAnsi="宋体"/>
                <w:szCs w:val="21"/>
              </w:rPr>
              <w:t>清洗出的红细胞压积恒定在60％以上，机器可根据失血压积的高低自动调节进血量。</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▲6</w:t>
            </w:r>
          </w:p>
        </w:tc>
        <w:tc>
          <w:tcPr>
            <w:tcW w:w="4914" w:type="dxa"/>
            <w:vAlign w:val="center"/>
          </w:tcPr>
          <w:p>
            <w:pPr>
              <w:rPr>
                <w:rFonts w:hint="eastAsia" w:ascii="宋体" w:hAnsi="宋体"/>
                <w:szCs w:val="21"/>
              </w:rPr>
            </w:pPr>
            <w:r>
              <w:rPr>
                <w:rFonts w:hint="eastAsia" w:ascii="宋体" w:hAnsi="宋体"/>
                <w:szCs w:val="21"/>
              </w:rPr>
              <w:t>血液处理时不受血量限制，起始失血量达到</w:t>
            </w:r>
            <w:r>
              <w:rPr>
                <w:rFonts w:hint="eastAsia" w:ascii="宋体" w:hAnsi="宋体"/>
                <w:szCs w:val="21"/>
                <w:lang w:eastAsia="zh-CN"/>
              </w:rPr>
              <w:t>≤</w:t>
            </w:r>
            <w:r>
              <w:rPr>
                <w:rFonts w:hint="eastAsia" w:ascii="宋体" w:hAnsi="宋体"/>
                <w:szCs w:val="21"/>
              </w:rPr>
              <w:t>30ml即可开始工作。</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hint="eastAsia" w:ascii="宋体" w:hAnsi="宋体"/>
                <w:szCs w:val="21"/>
              </w:rPr>
              <w:t>100％去除失血中的不溶解脂肪，抗凝用的肝素清除率</w:t>
            </w:r>
            <w:r>
              <w:rPr>
                <w:rFonts w:hint="eastAsia" w:ascii="宋体" w:hAnsi="宋体" w:cs="宋体"/>
                <w:szCs w:val="21"/>
              </w:rPr>
              <w:t>≧</w:t>
            </w:r>
            <w:r>
              <w:rPr>
                <w:rFonts w:hint="eastAsia" w:ascii="宋体" w:hAnsi="宋体"/>
                <w:szCs w:val="21"/>
              </w:rPr>
              <w:t>99％</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▲8</w:t>
            </w:r>
          </w:p>
        </w:tc>
        <w:tc>
          <w:tcPr>
            <w:tcW w:w="4914" w:type="dxa"/>
            <w:vAlign w:val="center"/>
          </w:tcPr>
          <w:p>
            <w:pPr>
              <w:pStyle w:val="74"/>
              <w:ind w:firstLine="0" w:firstLineChars="0"/>
              <w:rPr>
                <w:rFonts w:hint="eastAsia" w:ascii="宋体" w:hAnsi="宋体"/>
                <w:szCs w:val="21"/>
              </w:rPr>
            </w:pPr>
            <w:r>
              <w:rPr>
                <w:rFonts w:hint="eastAsia" w:ascii="宋体" w:hAnsi="宋体"/>
                <w:szCs w:val="21"/>
              </w:rPr>
              <w:t>耗材离心部件采用分离管腔设计，</w:t>
            </w:r>
            <w:r>
              <w:rPr>
                <w:rFonts w:hint="eastAsia" w:ascii="宋体" w:hAnsi="宋体"/>
                <w:szCs w:val="21"/>
                <w:lang w:val="sv-SE"/>
              </w:rPr>
              <w:t>专门液体输送管路≥4路，无共用管路部分</w:t>
            </w:r>
            <w:r>
              <w:rPr>
                <w:rFonts w:hint="eastAsia" w:ascii="宋体" w:hAnsi="宋体"/>
                <w:szCs w:val="21"/>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ascii="宋体" w:hAnsi="宋体"/>
                <w:szCs w:val="21"/>
              </w:rPr>
            </w:pPr>
            <w:r>
              <w:rPr>
                <w:rFonts w:hint="eastAsia" w:ascii="宋体" w:hAnsi="宋体"/>
                <w:szCs w:val="21"/>
              </w:rPr>
              <w:t>设备具有≥6个血液清洗程序，各种清洗程序成品回收速度范围为：</w:t>
            </w:r>
          </w:p>
          <w:p>
            <w:pPr>
              <w:widowControl/>
              <w:numPr>
                <w:ilvl w:val="1"/>
                <w:numId w:val="18"/>
              </w:numPr>
              <w:adjustRightInd w:val="0"/>
              <w:snapToGrid w:val="0"/>
              <w:ind w:firstLine="420" w:firstLineChars="200"/>
              <w:rPr>
                <w:rFonts w:ascii="宋体" w:hAnsi="宋体"/>
                <w:szCs w:val="21"/>
              </w:rPr>
            </w:pPr>
            <w:r>
              <w:rPr>
                <w:rFonts w:hint="eastAsia" w:ascii="宋体" w:hAnsi="宋体"/>
                <w:szCs w:val="21"/>
              </w:rPr>
              <w:t>高质量清洗：</w:t>
            </w:r>
            <w:r>
              <w:rPr>
                <w:rFonts w:hint="eastAsia" w:ascii="宋体" w:hAnsi="宋体" w:cs="宋体"/>
                <w:szCs w:val="21"/>
              </w:rPr>
              <w:t>≥</w:t>
            </w:r>
            <w:r>
              <w:rPr>
                <w:rFonts w:hint="eastAsia" w:ascii="宋体" w:hAnsi="宋体"/>
                <w:szCs w:val="21"/>
              </w:rPr>
              <w:t>20ml/min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rPr>
              <w:t>儿科手</w:t>
            </w:r>
            <w:r>
              <w:rPr>
                <w:rFonts w:hint="eastAsia" w:ascii="宋体" w:hAnsi="宋体"/>
                <w:szCs w:val="21"/>
                <w:lang w:val="sv-SE"/>
              </w:rPr>
              <w:t>术清洗：</w:t>
            </w:r>
            <w:r>
              <w:rPr>
                <w:rFonts w:hint="eastAsia" w:ascii="宋体" w:hAnsi="宋体" w:cs="宋体"/>
                <w:szCs w:val="21"/>
              </w:rPr>
              <w:t>≥</w:t>
            </w:r>
            <w:r>
              <w:rPr>
                <w:rFonts w:hint="eastAsia" w:ascii="宋体" w:hAnsi="宋体"/>
                <w:szCs w:val="21"/>
                <w:lang w:val="sv-SE"/>
              </w:rPr>
              <w:t>25ml/min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标准清洗：</w:t>
            </w:r>
            <w:r>
              <w:rPr>
                <w:rFonts w:hint="eastAsia" w:ascii="宋体" w:hAnsi="宋体" w:cs="宋体"/>
                <w:szCs w:val="21"/>
              </w:rPr>
              <w:t>≥</w:t>
            </w:r>
            <w:r>
              <w:rPr>
                <w:rFonts w:hint="eastAsia" w:ascii="宋体" w:hAnsi="宋体"/>
                <w:szCs w:val="21"/>
                <w:lang w:val="sv-SE"/>
              </w:rPr>
              <w:t>20ml/min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大流量清洗：</w:t>
            </w:r>
            <w:r>
              <w:rPr>
                <w:rFonts w:hint="eastAsia" w:ascii="宋体" w:hAnsi="宋体" w:cs="宋体"/>
                <w:szCs w:val="21"/>
              </w:rPr>
              <w:t>≥</w:t>
            </w:r>
            <w:r>
              <w:rPr>
                <w:rFonts w:hint="eastAsia" w:ascii="宋体" w:hAnsi="宋体"/>
                <w:szCs w:val="21"/>
                <w:lang w:val="sv-SE"/>
              </w:rPr>
              <w:t>30ml/min</w:t>
            </w:r>
          </w:p>
          <w:p>
            <w:pPr>
              <w:widowControl/>
              <w:numPr>
                <w:ilvl w:val="1"/>
                <w:numId w:val="18"/>
              </w:numPr>
              <w:adjustRightInd w:val="0"/>
              <w:snapToGrid w:val="0"/>
              <w:ind w:firstLine="420" w:firstLineChars="200"/>
              <w:rPr>
                <w:rFonts w:ascii="宋体" w:hAnsi="宋体"/>
                <w:szCs w:val="21"/>
                <w:lang w:val="sv-SE"/>
              </w:rPr>
            </w:pPr>
            <w:r>
              <w:rPr>
                <w:rFonts w:hint="eastAsia" w:ascii="宋体" w:hAnsi="宋体"/>
                <w:szCs w:val="21"/>
                <w:lang w:val="sv-SE"/>
              </w:rPr>
              <w:t>超大流量清洗：</w:t>
            </w:r>
            <w:r>
              <w:rPr>
                <w:rFonts w:hint="eastAsia" w:ascii="宋体" w:hAnsi="宋体" w:cs="宋体"/>
                <w:szCs w:val="21"/>
              </w:rPr>
              <w:t>≥</w:t>
            </w:r>
            <w:r>
              <w:rPr>
                <w:rFonts w:hint="eastAsia" w:ascii="宋体" w:hAnsi="宋体"/>
                <w:szCs w:val="21"/>
                <w:lang w:val="sv-SE"/>
              </w:rPr>
              <w:t>50ml/min</w:t>
            </w:r>
          </w:p>
          <w:p>
            <w:pPr>
              <w:widowControl/>
              <w:numPr>
                <w:ilvl w:val="1"/>
                <w:numId w:val="18"/>
              </w:numPr>
              <w:adjustRightInd w:val="0"/>
              <w:snapToGrid w:val="0"/>
              <w:ind w:left="840" w:leftChars="0" w:firstLine="420" w:firstLineChars="200"/>
              <w:rPr>
                <w:rFonts w:hint="eastAsia" w:ascii="宋体" w:hAnsi="宋体"/>
                <w:szCs w:val="21"/>
              </w:rPr>
            </w:pPr>
            <w:r>
              <w:rPr>
                <w:rFonts w:hint="eastAsia" w:ascii="宋体" w:hAnsi="宋体"/>
                <w:szCs w:val="21"/>
                <w:lang w:val="sv-SE"/>
              </w:rPr>
              <w:t>紧急清洗：</w:t>
            </w:r>
            <w:r>
              <w:rPr>
                <w:rFonts w:hint="eastAsia" w:ascii="宋体" w:hAnsi="宋体" w:cs="宋体"/>
                <w:szCs w:val="21"/>
              </w:rPr>
              <w:t>≥</w:t>
            </w:r>
            <w:r>
              <w:rPr>
                <w:rFonts w:hint="eastAsia" w:ascii="宋体" w:hAnsi="宋体"/>
                <w:szCs w:val="21"/>
                <w:lang w:val="sv-SE"/>
              </w:rPr>
              <w:t>100ml/min</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hint="eastAsia" w:ascii="宋体" w:hAnsi="宋体"/>
                <w:szCs w:val="21"/>
                <w:lang w:val="sv-SE"/>
              </w:rPr>
              <w:t>全中文操作界面：全部操作系统汉化。</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hint="eastAsia" w:ascii="宋体" w:hAnsi="宋体"/>
                <w:szCs w:val="21"/>
                <w:lang w:val="sv-SE"/>
              </w:rPr>
              <w:t>全电脑控制：所有处理过程均由电脑控制</w:t>
            </w:r>
            <w:r>
              <w:rPr>
                <w:rFonts w:hint="eastAsia" w:ascii="宋体" w:hAnsi="宋体"/>
                <w:szCs w:val="21"/>
                <w:lang w:val="sv-SE"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hint="eastAsia" w:ascii="宋体" w:hAnsi="宋体"/>
                <w:szCs w:val="21"/>
                <w:lang w:val="sv-SE"/>
              </w:rPr>
              <w:t>电动离心机盖锁带有安全传感器。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13</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安装便捷：自动安装泵管、自动锁定离心机、大屏图文显示器、在线帮助功能。</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14</w:t>
            </w:r>
          </w:p>
        </w:tc>
        <w:tc>
          <w:tcPr>
            <w:tcW w:w="4914" w:type="dxa"/>
            <w:vAlign w:val="center"/>
          </w:tcPr>
          <w:p>
            <w:pPr>
              <w:rPr>
                <w:rFonts w:hint="eastAsia" w:ascii="宋体" w:hAnsi="宋体"/>
                <w:szCs w:val="21"/>
              </w:rPr>
            </w:pPr>
            <w:r>
              <w:rPr>
                <w:rFonts w:hint="eastAsia" w:ascii="宋体" w:hAnsi="宋体"/>
                <w:szCs w:val="21"/>
                <w:lang w:val="sv-SE"/>
              </w:rPr>
              <w:t>设备自带负压调节装置，可根据需要调节提示声音，</w:t>
            </w:r>
            <w:r>
              <w:rPr>
                <w:rFonts w:hint="eastAsia" w:ascii="宋体" w:hAnsi="宋体" w:cs="宋体"/>
                <w:szCs w:val="21"/>
              </w:rPr>
              <w:t>≧7级可调</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15</w:t>
            </w:r>
          </w:p>
        </w:tc>
        <w:tc>
          <w:tcPr>
            <w:tcW w:w="4914" w:type="dxa"/>
            <w:vAlign w:val="center"/>
          </w:tcPr>
          <w:p>
            <w:pPr>
              <w:rPr>
                <w:rFonts w:hint="eastAsia" w:ascii="宋体" w:hAnsi="宋体"/>
                <w:szCs w:val="21"/>
              </w:rPr>
            </w:pPr>
            <w:r>
              <w:rPr>
                <w:rFonts w:hint="eastAsia" w:ascii="宋体" w:hAnsi="宋体"/>
                <w:szCs w:val="21"/>
                <w:lang w:val="sv-SE"/>
              </w:rPr>
              <w:t>自带整机电池，即使设备外部电源切断仍可进行</w:t>
            </w:r>
            <w:r>
              <w:rPr>
                <w:rFonts w:hint="eastAsia" w:ascii="宋体" w:hAnsi="宋体" w:cs="宋体"/>
                <w:szCs w:val="21"/>
              </w:rPr>
              <w:t>≧</w:t>
            </w:r>
            <w:r>
              <w:rPr>
                <w:rFonts w:hint="eastAsia" w:ascii="宋体" w:hAnsi="宋体"/>
                <w:szCs w:val="21"/>
                <w:lang w:val="sv-SE"/>
              </w:rPr>
              <w:t>10min操作</w:t>
            </w:r>
            <w:r>
              <w:rPr>
                <w:rFonts w:hint="eastAsia" w:ascii="宋体" w:hAnsi="宋体"/>
                <w:szCs w:val="21"/>
                <w:lang w:val="sv-SE"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16</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防电击能力</w:t>
            </w:r>
            <w:r>
              <w:rPr>
                <w:rFonts w:hint="eastAs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17</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PRC管破裂时的防护：PRC流动故障（如：夹子被关闭）可被CCD监视器检测到。</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18</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声压水平：≤5</w:t>
            </w:r>
            <w:r>
              <w:rPr>
                <w:rFonts w:ascii="宋体" w:hAnsi="宋体"/>
                <w:szCs w:val="21"/>
                <w:lang w:val="sv-SE"/>
              </w:rPr>
              <w:t>8</w:t>
            </w:r>
            <w:r>
              <w:rPr>
                <w:rFonts w:hint="eastAsia" w:ascii="宋体" w:hAnsi="宋体"/>
                <w:szCs w:val="21"/>
                <w:lang w:val="sv-SE"/>
              </w:rPr>
              <w:t>d</w:t>
            </w:r>
            <w:r>
              <w:rPr>
                <w:rFonts w:ascii="宋体" w:hAnsi="宋体"/>
                <w:szCs w:val="21"/>
                <w:lang w:val="sv-SE"/>
              </w:rPr>
              <w:t>B</w:t>
            </w:r>
            <w:r>
              <w:rPr>
                <w:rFonts w:hint="eastAsia" w:ascii="宋体" w:hAnsi="宋体"/>
                <w:szCs w:val="21"/>
                <w:lang w:val="sv-SE"/>
              </w:rPr>
              <w:t>（</w:t>
            </w:r>
            <w:r>
              <w:rPr>
                <w:rFonts w:ascii="宋体" w:hAnsi="宋体"/>
                <w:szCs w:val="21"/>
                <w:lang w:val="sv-SE"/>
              </w:rPr>
              <w:t>A</w:t>
            </w:r>
            <w:r>
              <w:rPr>
                <w:rFonts w:hint="eastAsia" w:ascii="宋体" w:hAnsi="宋体"/>
                <w:szCs w:val="21"/>
                <w:lang w:val="sv-SE"/>
              </w:rPr>
              <w:t>）n</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19</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血泵以恒定的速度2</w:t>
            </w:r>
            <w:r>
              <w:rPr>
                <w:rFonts w:ascii="宋体" w:hAnsi="宋体"/>
                <w:szCs w:val="21"/>
                <w:lang w:val="sv-SE"/>
              </w:rPr>
              <w:t>00</w:t>
            </w:r>
            <w:r>
              <w:rPr>
                <w:rFonts w:hint="eastAsia" w:ascii="宋体" w:hAnsi="宋体"/>
                <w:szCs w:val="21"/>
                <w:lang w:val="sv-SE"/>
              </w:rPr>
              <w:t>-</w:t>
            </w:r>
            <w:r>
              <w:rPr>
                <w:rFonts w:ascii="宋体" w:hAnsi="宋体"/>
                <w:szCs w:val="21"/>
                <w:lang w:val="sv-SE"/>
              </w:rPr>
              <w:t>350</w:t>
            </w:r>
            <w:r>
              <w:rPr>
                <w:rFonts w:hint="eastAsia" w:ascii="宋体" w:hAnsi="宋体"/>
                <w:szCs w:val="21"/>
                <w:lang w:val="sv-SE"/>
              </w:rPr>
              <w:t>ml</w:t>
            </w:r>
            <w:r>
              <w:rPr>
                <w:rFonts w:ascii="宋体" w:hAnsi="宋体"/>
                <w:szCs w:val="21"/>
                <w:lang w:val="sv-SE"/>
              </w:rPr>
              <w:t>/</w:t>
            </w:r>
            <w:r>
              <w:rPr>
                <w:rFonts w:hint="eastAsia" w:ascii="宋体" w:hAnsi="宋体"/>
                <w:szCs w:val="21"/>
                <w:lang w:val="sv-SE"/>
              </w:rPr>
              <w:t>min驱动收集血液</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20</w:t>
            </w:r>
          </w:p>
        </w:tc>
        <w:tc>
          <w:tcPr>
            <w:tcW w:w="4914" w:type="dxa"/>
            <w:vAlign w:val="center"/>
          </w:tcPr>
          <w:p>
            <w:pPr>
              <w:pStyle w:val="74"/>
              <w:ind w:firstLine="0" w:firstLineChars="0"/>
              <w:rPr>
                <w:rFonts w:hint="eastAsia" w:ascii="宋体" w:hAnsi="宋体"/>
                <w:szCs w:val="21"/>
              </w:rPr>
            </w:pPr>
            <w:r>
              <w:rPr>
                <w:rFonts w:hint="eastAsia" w:ascii="宋体" w:hAnsi="宋体"/>
                <w:color w:val="auto"/>
                <w:szCs w:val="21"/>
                <w:lang w:val="sv-SE"/>
              </w:rPr>
              <w:t>贮存温度范围：-</w:t>
            </w:r>
            <w:r>
              <w:rPr>
                <w:rFonts w:ascii="宋体" w:hAnsi="宋体"/>
                <w:color w:val="auto"/>
                <w:szCs w:val="21"/>
                <w:lang w:val="sv-SE"/>
              </w:rPr>
              <w:t>15</w:t>
            </w:r>
            <w:r>
              <w:rPr>
                <w:rFonts w:hint="eastAsia" w:ascii="宋体" w:hAnsi="宋体"/>
                <w:color w:val="auto"/>
                <w:szCs w:val="21"/>
                <w:lang w:val="sv-SE"/>
              </w:rPr>
              <w:t>℃至+</w:t>
            </w:r>
            <w:r>
              <w:rPr>
                <w:rFonts w:ascii="宋体" w:hAnsi="宋体"/>
                <w:color w:val="auto"/>
                <w:szCs w:val="21"/>
                <w:lang w:val="sv-SE"/>
              </w:rPr>
              <w:t>50</w:t>
            </w:r>
            <w:r>
              <w:rPr>
                <w:rFonts w:hint="eastAsia" w:ascii="宋体" w:hAnsi="宋体" w:cs="宋体"/>
                <w:color w:val="auto"/>
                <w:szCs w:val="21"/>
                <w:lang w:val="sv-SE"/>
              </w:rPr>
              <w:t>℃</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21</w:t>
            </w:r>
          </w:p>
        </w:tc>
        <w:tc>
          <w:tcPr>
            <w:tcW w:w="4914" w:type="dxa"/>
            <w:vAlign w:val="center"/>
          </w:tcPr>
          <w:p>
            <w:pPr>
              <w:pStyle w:val="74"/>
              <w:ind w:firstLine="0" w:firstLineChars="0"/>
              <w:rPr>
                <w:rFonts w:ascii="宋体" w:hAnsi="宋体"/>
                <w:color w:val="auto"/>
                <w:szCs w:val="21"/>
                <w:lang w:val="sv-SE"/>
              </w:rPr>
            </w:pPr>
            <w:r>
              <w:rPr>
                <w:rFonts w:hint="eastAsia" w:ascii="宋体" w:hAnsi="宋体"/>
                <w:color w:val="auto"/>
                <w:szCs w:val="21"/>
                <w:lang w:val="sv-SE"/>
              </w:rPr>
              <w:t>静脉输液架：</w:t>
            </w:r>
          </w:p>
          <w:p>
            <w:pPr>
              <w:pStyle w:val="74"/>
              <w:ind w:firstLine="0" w:firstLineChars="0"/>
              <w:rPr>
                <w:rFonts w:ascii="宋体" w:hAnsi="宋体"/>
                <w:color w:val="auto"/>
                <w:szCs w:val="21"/>
                <w:lang w:val="sv-SE"/>
              </w:rPr>
            </w:pPr>
            <w:r>
              <w:rPr>
                <w:rFonts w:hint="eastAsia" w:ascii="宋体" w:hAnsi="宋体"/>
                <w:color w:val="auto"/>
                <w:szCs w:val="21"/>
                <w:lang w:val="sv-SE"/>
              </w:rPr>
              <w:t>最大安全负荷：</w:t>
            </w:r>
          </w:p>
          <w:p>
            <w:pPr>
              <w:pStyle w:val="74"/>
              <w:ind w:firstLine="0" w:firstLineChars="0"/>
              <w:rPr>
                <w:rFonts w:ascii="宋体" w:hAnsi="宋体"/>
                <w:color w:val="auto"/>
                <w:szCs w:val="21"/>
                <w:lang w:val="sv-SE"/>
              </w:rPr>
            </w:pPr>
            <w:r>
              <w:rPr>
                <w:rFonts w:hint="eastAsia" w:ascii="宋体" w:hAnsi="宋体"/>
                <w:color w:val="auto"/>
                <w:szCs w:val="21"/>
                <w:lang w:val="sv-SE"/>
              </w:rPr>
              <w:t>下面踏板 每个悬挂钩≥</w:t>
            </w:r>
            <w:r>
              <w:rPr>
                <w:rFonts w:ascii="宋体" w:hAnsi="宋体"/>
                <w:color w:val="auto"/>
                <w:szCs w:val="21"/>
                <w:lang w:val="sv-SE"/>
              </w:rPr>
              <w:t>3</w:t>
            </w:r>
            <w:r>
              <w:rPr>
                <w:rFonts w:hint="eastAsia" w:ascii="宋体" w:hAnsi="宋体"/>
                <w:color w:val="auto"/>
                <w:szCs w:val="21"/>
                <w:lang w:val="sv-SE"/>
              </w:rPr>
              <w:t>kg</w:t>
            </w:r>
          </w:p>
          <w:p>
            <w:pPr>
              <w:pStyle w:val="74"/>
              <w:ind w:firstLine="0" w:firstLineChars="0"/>
              <w:rPr>
                <w:rFonts w:hint="eastAsia" w:ascii="宋体" w:hAnsi="宋体"/>
                <w:szCs w:val="21"/>
              </w:rPr>
            </w:pPr>
            <w:r>
              <w:rPr>
                <w:rFonts w:hint="eastAsia" w:ascii="宋体" w:hAnsi="宋体"/>
                <w:color w:val="auto"/>
                <w:szCs w:val="21"/>
                <w:lang w:val="sv-SE"/>
              </w:rPr>
              <w:t>上面踏板 每个悬挂钩≥1kg</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22</w:t>
            </w:r>
          </w:p>
        </w:tc>
        <w:tc>
          <w:tcPr>
            <w:tcW w:w="4914" w:type="dxa"/>
            <w:vAlign w:val="center"/>
          </w:tcPr>
          <w:p>
            <w:pPr>
              <w:pStyle w:val="74"/>
              <w:ind w:firstLine="0" w:firstLineChars="0"/>
              <w:rPr>
                <w:rFonts w:hint="eastAsia" w:ascii="宋体" w:hAnsi="宋体"/>
                <w:szCs w:val="21"/>
              </w:rPr>
            </w:pPr>
            <w:r>
              <w:rPr>
                <w:rFonts w:hint="eastAsia" w:ascii="宋体" w:hAnsi="宋体"/>
                <w:color w:val="auto"/>
                <w:szCs w:val="21"/>
                <w:lang w:val="sv-SE"/>
              </w:rPr>
              <w:t>线电压：1</w:t>
            </w:r>
            <w:r>
              <w:rPr>
                <w:rFonts w:ascii="宋体" w:hAnsi="宋体"/>
                <w:color w:val="auto"/>
                <w:szCs w:val="21"/>
                <w:lang w:val="sv-SE"/>
              </w:rPr>
              <w:t>00</w:t>
            </w:r>
            <w:r>
              <w:rPr>
                <w:rFonts w:hint="eastAsia" w:ascii="宋体" w:hAnsi="宋体"/>
                <w:color w:val="auto"/>
                <w:szCs w:val="21"/>
                <w:lang w:val="sv-SE"/>
              </w:rPr>
              <w:t>-</w:t>
            </w:r>
            <w:r>
              <w:rPr>
                <w:rFonts w:ascii="宋体" w:hAnsi="宋体"/>
                <w:color w:val="auto"/>
                <w:szCs w:val="21"/>
                <w:lang w:val="sv-SE"/>
              </w:rPr>
              <w:t>240VAC,</w:t>
            </w:r>
            <w:r>
              <w:rPr>
                <w:rFonts w:hint="eastAsia" w:ascii="宋体" w:hAnsi="宋体"/>
                <w:color w:val="auto"/>
                <w:szCs w:val="21"/>
                <w:lang w:val="sv-SE"/>
              </w:rPr>
              <w:t>±</w:t>
            </w:r>
            <w:r>
              <w:rPr>
                <w:rFonts w:ascii="宋体" w:hAnsi="宋体"/>
                <w:color w:val="auto"/>
                <w:szCs w:val="21"/>
                <w:lang w:val="sv-SE"/>
              </w:rPr>
              <w:t>10</w:t>
            </w:r>
            <w:r>
              <w:rPr>
                <w:rFonts w:hint="eastAsia" w:ascii="宋体" w:hAnsi="宋体"/>
                <w:color w:val="auto"/>
                <w:szCs w:val="21"/>
                <w:lang w:val="sv-SE"/>
              </w:rPr>
              <w:t>%，</w:t>
            </w:r>
            <w:r>
              <w:rPr>
                <w:rFonts w:ascii="宋体" w:hAnsi="宋体"/>
                <w:color w:val="auto"/>
                <w:szCs w:val="21"/>
                <w:lang w:val="sv-SE"/>
              </w:rPr>
              <w:t>50</w:t>
            </w:r>
            <w:r>
              <w:rPr>
                <w:rFonts w:hint="eastAsia" w:ascii="宋体" w:hAnsi="宋体"/>
                <w:color w:val="auto"/>
                <w:szCs w:val="21"/>
                <w:lang w:val="sv-SE"/>
              </w:rPr>
              <w:t>-</w:t>
            </w:r>
            <w:r>
              <w:rPr>
                <w:rFonts w:ascii="宋体" w:hAnsi="宋体"/>
                <w:color w:val="auto"/>
                <w:szCs w:val="21"/>
                <w:lang w:val="sv-SE"/>
              </w:rPr>
              <w:t>60H</w:t>
            </w:r>
            <w:r>
              <w:rPr>
                <w:rFonts w:hint="eastAsia" w:ascii="宋体" w:hAnsi="宋体"/>
                <w:color w:val="auto"/>
                <w:szCs w:val="21"/>
                <w:lang w:val="sv-SE"/>
              </w:rPr>
              <w:t>z</w:t>
            </w:r>
            <w:r>
              <w:rPr>
                <w:rFonts w:hint="eastAsia"/>
                <w:color w:val="auto"/>
                <w:lang w:eastAsia="zh-CN"/>
              </w:rPr>
              <w:t>（</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23</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功率：≤7</w:t>
            </w:r>
            <w:r>
              <w:rPr>
                <w:rFonts w:ascii="宋体" w:hAnsi="宋体"/>
                <w:szCs w:val="21"/>
                <w:lang w:val="sv-SE"/>
              </w:rPr>
              <w:t>00VA</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24</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相对湿度：</w:t>
            </w:r>
            <w:r>
              <w:rPr>
                <w:rFonts w:ascii="宋体" w:hAnsi="宋体"/>
                <w:szCs w:val="21"/>
                <w:lang w:val="sv-SE"/>
              </w:rPr>
              <w:t>30</w:t>
            </w:r>
            <w:r>
              <w:rPr>
                <w:rFonts w:hint="eastAsia" w:ascii="宋体" w:hAnsi="宋体" w:cs="宋体"/>
                <w:szCs w:val="21"/>
                <w:lang w:val="sv-SE"/>
              </w:rPr>
              <w:t>℃至</w:t>
            </w:r>
            <w:r>
              <w:rPr>
                <w:rFonts w:ascii="宋体" w:hAnsi="宋体" w:cs="宋体"/>
                <w:szCs w:val="21"/>
                <w:lang w:val="sv-SE"/>
              </w:rPr>
              <w:t>75</w:t>
            </w:r>
            <w:r>
              <w:rPr>
                <w:rFonts w:hint="eastAsia" w:ascii="宋体" w:hAnsi="宋体" w:cs="宋体"/>
                <w:szCs w:val="21"/>
                <w:lang w:val="sv-SE"/>
              </w:rPr>
              <w:t>℃，临时可高于9</w:t>
            </w:r>
            <w:r>
              <w:rPr>
                <w:rFonts w:hint="eastAsia" w:ascii="宋体" w:hAnsi="宋体" w:cs="宋体"/>
                <w:szCs w:val="21"/>
              </w:rPr>
              <w:t>0</w:t>
            </w:r>
            <w:r>
              <w:rPr>
                <w:rFonts w:hint="eastAsia" w:ascii="宋体" w:hAnsi="宋体" w:cs="宋体"/>
                <w:szCs w:val="21"/>
                <w:lang w:val="sv-SE"/>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25</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具备U</w:t>
            </w:r>
            <w:r>
              <w:rPr>
                <w:rFonts w:ascii="宋体" w:hAnsi="宋体"/>
                <w:szCs w:val="21"/>
                <w:lang w:val="sv-SE"/>
              </w:rPr>
              <w:t>SB</w:t>
            </w:r>
            <w:r>
              <w:rPr>
                <w:rFonts w:hint="eastAsia" w:ascii="宋体" w:hAnsi="宋体"/>
                <w:szCs w:val="21"/>
                <w:lang w:val="sv-SE"/>
              </w:rPr>
              <w:t>接口，用于提取或保存日志文件</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26</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具备P</w:t>
            </w:r>
            <w:r>
              <w:rPr>
                <w:rFonts w:ascii="宋体" w:hAnsi="宋体"/>
                <w:szCs w:val="21"/>
                <w:lang w:val="sv-SE"/>
              </w:rPr>
              <w:t>RC</w:t>
            </w:r>
            <w:r>
              <w:rPr>
                <w:rFonts w:hint="eastAsia" w:ascii="宋体" w:hAnsi="宋体"/>
                <w:szCs w:val="21"/>
                <w:lang w:val="sv-SE"/>
              </w:rPr>
              <w:t>传感器，测定洗涤室P</w:t>
            </w:r>
            <w:r>
              <w:rPr>
                <w:rFonts w:ascii="宋体" w:hAnsi="宋体"/>
                <w:szCs w:val="21"/>
                <w:lang w:val="sv-SE"/>
              </w:rPr>
              <w:t>RC</w:t>
            </w:r>
            <w:r>
              <w:rPr>
                <w:rFonts w:hint="eastAsia" w:ascii="宋体" w:hAnsi="宋体"/>
                <w:szCs w:val="21"/>
                <w:lang w:val="sv-SE"/>
              </w:rPr>
              <w:t>填充水平</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27</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具备盐水传感器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28</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w:t>
            </w:r>
            <w:r>
              <w:rPr>
                <w:rFonts w:ascii="宋体" w:hAnsi="宋体"/>
                <w:szCs w:val="21"/>
                <w:lang w:val="sv-SE"/>
              </w:rPr>
              <w:t>CCD</w:t>
            </w:r>
            <w:r>
              <w:rPr>
                <w:rFonts w:hint="eastAsia" w:ascii="宋体" w:hAnsi="宋体"/>
                <w:szCs w:val="21"/>
                <w:lang w:val="sv-SE"/>
              </w:rPr>
              <w:t>摄像机</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29</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具备超声气体传感器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30</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具备离心机适配器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31</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具备洗涤室锁紧传感器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32</w:t>
            </w:r>
          </w:p>
        </w:tc>
        <w:tc>
          <w:tcPr>
            <w:tcW w:w="4914" w:type="dxa"/>
            <w:vAlign w:val="center"/>
          </w:tcPr>
          <w:p>
            <w:pPr>
              <w:pStyle w:val="74"/>
              <w:tabs>
                <w:tab w:val="left" w:pos="1476"/>
              </w:tabs>
              <w:ind w:firstLine="0" w:firstLineChars="0"/>
              <w:rPr>
                <w:rFonts w:hint="eastAsia" w:ascii="宋体" w:hAnsi="宋体"/>
                <w:szCs w:val="21"/>
              </w:rPr>
            </w:pPr>
            <w:r>
              <w:rPr>
                <w:rFonts w:hint="eastAsia" w:ascii="宋体" w:hAnsi="宋体"/>
                <w:szCs w:val="21"/>
                <w:lang w:val="sv-SE"/>
              </w:rPr>
              <w:t>细胞受离心力作用的时间平均为</w:t>
            </w:r>
            <w:r>
              <w:rPr>
                <w:rFonts w:hint="eastAsia" w:ascii="宋体" w:hAnsi="宋体"/>
                <w:szCs w:val="21"/>
              </w:rPr>
              <w:t>25s-40</w:t>
            </w:r>
            <w:r>
              <w:rPr>
                <w:rFonts w:hint="eastAsia" w:ascii="宋体" w:hAnsi="宋体"/>
                <w:szCs w:val="21"/>
                <w:lang w:val="sv-SE"/>
              </w:rPr>
              <w:t>s左右</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33</w:t>
            </w:r>
          </w:p>
        </w:tc>
        <w:tc>
          <w:tcPr>
            <w:tcW w:w="4914" w:type="dxa"/>
            <w:vAlign w:val="center"/>
          </w:tcPr>
          <w:p>
            <w:pPr>
              <w:pStyle w:val="74"/>
              <w:ind w:firstLine="0" w:firstLineChars="0"/>
              <w:rPr>
                <w:rFonts w:hint="eastAsia" w:ascii="宋体" w:hAnsi="宋体"/>
                <w:szCs w:val="21"/>
              </w:rPr>
            </w:pPr>
            <w:r>
              <w:rPr>
                <w:rFonts w:hint="eastAsia" w:ascii="宋体" w:hAnsi="宋体"/>
                <w:szCs w:val="21"/>
                <w:lang w:val="sv-SE"/>
              </w:rPr>
              <w:t>具备运行时间指示器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4.新生儿保暖箱</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hint="eastAsia"/>
              </w:rPr>
              <w:t>温度具有箱温和肤温控制模式</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2</w:t>
            </w:r>
          </w:p>
        </w:tc>
        <w:tc>
          <w:tcPr>
            <w:tcW w:w="4914" w:type="dxa"/>
            <w:vAlign w:val="center"/>
          </w:tcPr>
          <w:p>
            <w:pPr>
              <w:rPr>
                <w:rFonts w:hint="eastAsia" w:ascii="宋体" w:hAnsi="宋体"/>
                <w:szCs w:val="21"/>
              </w:rPr>
            </w:pPr>
            <w:r>
              <w:rPr>
                <w:rFonts w:hint="eastAsia"/>
              </w:rPr>
              <w:t>温度升温时间：≤35min</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b/>
                <w:bCs/>
              </w:rPr>
              <w:t>3</w:t>
            </w:r>
          </w:p>
        </w:tc>
        <w:tc>
          <w:tcPr>
            <w:tcW w:w="4914" w:type="dxa"/>
            <w:vAlign w:val="center"/>
          </w:tcPr>
          <w:p>
            <w:pPr>
              <w:rPr>
                <w:rFonts w:hint="eastAsia" w:ascii="宋体" w:hAnsi="宋体"/>
                <w:b/>
                <w:bCs/>
                <w:color w:val="FF0000"/>
                <w:szCs w:val="21"/>
              </w:rPr>
            </w:pPr>
            <w:r>
              <w:rPr>
                <w:rFonts w:hint="eastAsia"/>
                <w:color w:val="auto"/>
              </w:rPr>
              <w:t>温控范围：婴儿模式35-37.5℃，空气模式25-39℃</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color w:val="auto"/>
              </w:rPr>
              <w:t>温度测量精度：±0.2℃</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hint="eastAsia"/>
                <w:color w:val="auto"/>
              </w:rPr>
              <w:t>温度控制精度：婴儿模式≤±0.7℃，空气模式≤±1℃</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6</w:t>
            </w:r>
          </w:p>
        </w:tc>
        <w:tc>
          <w:tcPr>
            <w:tcW w:w="4914" w:type="dxa"/>
            <w:vAlign w:val="center"/>
          </w:tcPr>
          <w:p>
            <w:pPr>
              <w:rPr>
                <w:rFonts w:hint="eastAsia" w:ascii="宋体" w:hAnsi="宋体"/>
                <w:szCs w:val="21"/>
              </w:rPr>
            </w:pPr>
            <w:r>
              <w:rPr>
                <w:rFonts w:hint="eastAsia"/>
                <w:color w:val="auto"/>
              </w:rPr>
              <w:t>温度偏差（培养箱温度与平均培养箱温度差）：≤0.5℃</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hint="eastAsia"/>
                <w:color w:val="auto"/>
              </w:rPr>
              <w:t>温度均匀度：水平床≤±0.8℃，倾斜床≤±1℃</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8</w:t>
            </w:r>
          </w:p>
        </w:tc>
        <w:tc>
          <w:tcPr>
            <w:tcW w:w="4914" w:type="dxa"/>
            <w:vAlign w:val="center"/>
          </w:tcPr>
          <w:p>
            <w:pPr>
              <w:rPr>
                <w:rFonts w:hint="eastAsia" w:ascii="宋体" w:hAnsi="宋体"/>
                <w:szCs w:val="21"/>
              </w:rPr>
            </w:pPr>
            <w:r>
              <w:rPr>
                <w:rFonts w:hint="eastAsia"/>
                <w:color w:val="auto"/>
              </w:rPr>
              <w:t>湿度设置范围30%-95%</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，湿度控制精度：±10%</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hint="eastAsia" w:ascii="宋体" w:hAnsi="宋体"/>
                <w:szCs w:val="21"/>
              </w:rPr>
            </w:pPr>
            <w:r>
              <w:rPr>
                <w:rFonts w:hint="eastAsia"/>
                <w:color w:val="auto"/>
              </w:rPr>
              <w:t>加湿系统采用钛合金材质</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hint="eastAsia"/>
                <w:color w:val="auto"/>
              </w:rPr>
              <w:t>屏幕≥8英寸LED背光触控屏，分辨率≥800*600</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hint="eastAsia"/>
                <w:color w:val="auto"/>
              </w:rPr>
              <w:t>具有自动风帘系统</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hint="eastAsia"/>
                <w:color w:val="auto"/>
              </w:rPr>
              <w:t>标配阻尼门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13</w:t>
            </w:r>
          </w:p>
        </w:tc>
        <w:tc>
          <w:tcPr>
            <w:tcW w:w="4914" w:type="dxa"/>
            <w:vAlign w:val="center"/>
          </w:tcPr>
          <w:p>
            <w:pPr>
              <w:rPr>
                <w:rFonts w:hint="eastAsia" w:ascii="宋体" w:hAnsi="宋体"/>
                <w:szCs w:val="21"/>
              </w:rPr>
            </w:pPr>
            <w:r>
              <w:rPr>
                <w:rFonts w:hint="eastAsia"/>
                <w:color w:val="auto"/>
              </w:rPr>
              <w:t>采用双层箱门设计</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14</w:t>
            </w:r>
          </w:p>
        </w:tc>
        <w:tc>
          <w:tcPr>
            <w:tcW w:w="4914" w:type="dxa"/>
            <w:vAlign w:val="center"/>
          </w:tcPr>
          <w:p>
            <w:pPr>
              <w:rPr>
                <w:rFonts w:hint="eastAsia" w:ascii="宋体" w:hAnsi="宋体"/>
                <w:szCs w:val="21"/>
              </w:rPr>
            </w:pPr>
            <w:r>
              <w:rPr>
                <w:rFonts w:hint="eastAsia"/>
                <w:color w:val="auto"/>
              </w:rPr>
              <w:t>床体采用原色材料一体注塑成型</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15</w:t>
            </w:r>
          </w:p>
        </w:tc>
        <w:tc>
          <w:tcPr>
            <w:tcW w:w="4914" w:type="dxa"/>
            <w:vAlign w:val="center"/>
          </w:tcPr>
          <w:p>
            <w:pPr>
              <w:rPr>
                <w:rFonts w:hint="eastAsia" w:ascii="宋体" w:hAnsi="宋体"/>
                <w:szCs w:val="21"/>
              </w:rPr>
            </w:pPr>
            <w:r>
              <w:rPr>
                <w:rFonts w:hint="eastAsia"/>
                <w:color w:val="auto"/>
              </w:rPr>
              <w:t>床体倾斜可通过触摸屏控制，床体倾斜电动无极可调</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16</w:t>
            </w:r>
          </w:p>
        </w:tc>
        <w:tc>
          <w:tcPr>
            <w:tcW w:w="4914" w:type="dxa"/>
            <w:vAlign w:val="center"/>
          </w:tcPr>
          <w:p>
            <w:pPr>
              <w:rPr>
                <w:rFonts w:hint="eastAsia" w:ascii="宋体" w:hAnsi="宋体"/>
                <w:szCs w:val="21"/>
              </w:rPr>
            </w:pPr>
            <w:r>
              <w:rPr>
                <w:rFonts w:hint="eastAsia"/>
                <w:color w:val="auto"/>
              </w:rPr>
              <w:t>箱内气体流速：&lt;0.1m/s</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17</w:t>
            </w:r>
          </w:p>
        </w:tc>
        <w:tc>
          <w:tcPr>
            <w:tcW w:w="4914" w:type="dxa"/>
            <w:vAlign w:val="center"/>
          </w:tcPr>
          <w:p>
            <w:pPr>
              <w:rPr>
                <w:rFonts w:hint="eastAsia" w:ascii="宋体" w:hAnsi="宋体"/>
                <w:szCs w:val="21"/>
              </w:rPr>
            </w:pPr>
            <w:r>
              <w:rPr>
                <w:rFonts w:hint="eastAsia"/>
                <w:color w:val="auto"/>
              </w:rPr>
              <w:t>标配直流电机</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18</w:t>
            </w:r>
          </w:p>
        </w:tc>
        <w:tc>
          <w:tcPr>
            <w:tcW w:w="4914" w:type="dxa"/>
            <w:vAlign w:val="center"/>
          </w:tcPr>
          <w:p>
            <w:pPr>
              <w:rPr>
                <w:rFonts w:hint="eastAsia" w:ascii="宋体" w:hAnsi="宋体"/>
                <w:szCs w:val="21"/>
              </w:rPr>
            </w:pPr>
            <w:r>
              <w:rPr>
                <w:rFonts w:hint="eastAsia"/>
                <w:color w:val="auto"/>
              </w:rPr>
              <w:t>全独立超温保护功能</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19</w:t>
            </w:r>
          </w:p>
        </w:tc>
        <w:tc>
          <w:tcPr>
            <w:tcW w:w="4914" w:type="dxa"/>
            <w:vAlign w:val="center"/>
          </w:tcPr>
          <w:p>
            <w:pPr>
              <w:rPr>
                <w:rFonts w:hint="eastAsia" w:ascii="宋体" w:hAnsi="宋体"/>
                <w:szCs w:val="21"/>
              </w:rPr>
            </w:pPr>
            <w:r>
              <w:rPr>
                <w:rFonts w:hint="eastAsia"/>
                <w:color w:val="auto"/>
              </w:rPr>
              <w:t>蓝光波长范围：400-550nm</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20</w:t>
            </w:r>
          </w:p>
        </w:tc>
        <w:tc>
          <w:tcPr>
            <w:tcW w:w="4914" w:type="dxa"/>
            <w:vAlign w:val="center"/>
          </w:tcPr>
          <w:p>
            <w:pPr>
              <w:rPr>
                <w:rFonts w:hint="eastAsia" w:ascii="宋体" w:hAnsi="宋体"/>
                <w:szCs w:val="21"/>
              </w:rPr>
            </w:pPr>
            <w:r>
              <w:rPr>
                <w:rFonts w:hint="eastAsia"/>
              </w:rPr>
              <w:t>辐照强度高达60μW/cm2/nm（3.6mW/cm2）</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21</w:t>
            </w:r>
          </w:p>
        </w:tc>
        <w:tc>
          <w:tcPr>
            <w:tcW w:w="4914" w:type="dxa"/>
            <w:vAlign w:val="center"/>
          </w:tcPr>
          <w:p>
            <w:pPr>
              <w:rPr>
                <w:rFonts w:hint="eastAsia" w:ascii="宋体" w:hAnsi="宋体"/>
                <w:szCs w:val="21"/>
              </w:rPr>
            </w:pPr>
            <w:r>
              <w:rPr>
                <w:rFonts w:hint="eastAsia"/>
              </w:rPr>
              <w:t>辐照度单位 μW/cm2/nm和 mW/cm2 两种可选择。</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22</w:t>
            </w:r>
          </w:p>
        </w:tc>
        <w:tc>
          <w:tcPr>
            <w:tcW w:w="4914" w:type="dxa"/>
            <w:vAlign w:val="center"/>
          </w:tcPr>
          <w:p>
            <w:pPr>
              <w:rPr>
                <w:rFonts w:hint="eastAsia" w:ascii="宋体" w:hAnsi="宋体"/>
                <w:szCs w:val="21"/>
              </w:rPr>
            </w:pPr>
            <w:r>
              <w:rPr>
                <w:rFonts w:hint="eastAsia"/>
              </w:rPr>
              <w:t>辐照强度≥5档可调。</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23</w:t>
            </w:r>
          </w:p>
        </w:tc>
        <w:tc>
          <w:tcPr>
            <w:tcW w:w="4914" w:type="dxa"/>
            <w:vAlign w:val="center"/>
          </w:tcPr>
          <w:p>
            <w:pPr>
              <w:rPr>
                <w:rFonts w:hint="eastAsia" w:ascii="宋体" w:hAnsi="宋体"/>
                <w:szCs w:val="21"/>
              </w:rPr>
            </w:pPr>
            <w:r>
              <w:rPr>
                <w:rFonts w:hint="eastAsia"/>
              </w:rPr>
              <w:t>蓝光治疗具有两种</w:t>
            </w:r>
            <w:r>
              <w:rPr>
                <w:rFonts w:hint="eastAsia"/>
                <w:lang w:eastAsia="zh-CN"/>
              </w:rPr>
              <w:t>及以上</w:t>
            </w:r>
            <w:r>
              <w:rPr>
                <w:rFonts w:hint="eastAsia"/>
              </w:rPr>
              <w:t>工作模式</w:t>
            </w:r>
            <w:r>
              <w:rPr>
                <w:rFonts w:hint="eastAs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24</w:t>
            </w:r>
          </w:p>
        </w:tc>
        <w:tc>
          <w:tcPr>
            <w:tcW w:w="4914" w:type="dxa"/>
            <w:vAlign w:val="center"/>
          </w:tcPr>
          <w:p>
            <w:pPr>
              <w:rPr>
                <w:rFonts w:hint="eastAsia" w:ascii="宋体" w:hAnsi="宋体"/>
                <w:szCs w:val="21"/>
              </w:rPr>
            </w:pPr>
            <w:r>
              <w:rPr>
                <w:rFonts w:hint="eastAsia"/>
              </w:rPr>
              <w:t>可通过屏幕实时查看光疗期间的光照辐照度值，触摸屏≥4英寸</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25</w:t>
            </w:r>
          </w:p>
        </w:tc>
        <w:tc>
          <w:tcPr>
            <w:tcW w:w="4914" w:type="dxa"/>
            <w:vAlign w:val="center"/>
          </w:tcPr>
          <w:p>
            <w:pPr>
              <w:rPr>
                <w:rFonts w:hint="eastAsia" w:ascii="宋体" w:hAnsi="宋体"/>
                <w:szCs w:val="21"/>
              </w:rPr>
            </w:pPr>
            <w:r>
              <w:rPr>
                <w:rFonts w:hint="eastAsia"/>
              </w:rPr>
              <w:t>红光定位功能。</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26</w:t>
            </w:r>
          </w:p>
        </w:tc>
        <w:tc>
          <w:tcPr>
            <w:tcW w:w="4914" w:type="dxa"/>
            <w:vAlign w:val="center"/>
          </w:tcPr>
          <w:p>
            <w:pPr>
              <w:rPr>
                <w:rFonts w:hint="eastAsia" w:ascii="宋体" w:hAnsi="宋体"/>
                <w:szCs w:val="21"/>
              </w:rPr>
            </w:pPr>
            <w:r>
              <w:rPr>
                <w:rFonts w:hint="eastAsia"/>
              </w:rPr>
              <w:t>LED光源使用寿命应≥50000小时。</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27</w:t>
            </w:r>
          </w:p>
        </w:tc>
        <w:tc>
          <w:tcPr>
            <w:tcW w:w="4914" w:type="dxa"/>
            <w:vAlign w:val="center"/>
          </w:tcPr>
          <w:p>
            <w:pPr>
              <w:rPr>
                <w:rFonts w:hint="eastAsia" w:ascii="宋体" w:hAnsi="宋体"/>
                <w:szCs w:val="21"/>
              </w:rPr>
            </w:pPr>
            <w:r>
              <w:rPr>
                <w:rFonts w:hint="eastAsia"/>
              </w:rPr>
              <w:t>无风扇设计。</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28</w:t>
            </w:r>
          </w:p>
        </w:tc>
        <w:tc>
          <w:tcPr>
            <w:tcW w:w="4914" w:type="dxa"/>
            <w:vAlign w:val="center"/>
          </w:tcPr>
          <w:p>
            <w:pPr>
              <w:rPr>
                <w:rFonts w:hint="eastAsia" w:ascii="宋体" w:hAnsi="宋体"/>
                <w:szCs w:val="21"/>
              </w:rPr>
            </w:pPr>
            <w:r>
              <w:rPr>
                <w:rFonts w:hint="eastAsia"/>
              </w:rPr>
              <w:t>内置计时功能：可设置正计时或倒计时，系统自动记录LED光源总工作时间。</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29</w:t>
            </w:r>
          </w:p>
        </w:tc>
        <w:tc>
          <w:tcPr>
            <w:tcW w:w="4914" w:type="dxa"/>
            <w:vAlign w:val="center"/>
          </w:tcPr>
          <w:p>
            <w:pPr>
              <w:rPr>
                <w:rFonts w:hint="eastAsia" w:ascii="宋体" w:hAnsi="宋体"/>
                <w:szCs w:val="21"/>
              </w:rPr>
            </w:pPr>
            <w:r>
              <w:rPr>
                <w:rFonts w:hint="eastAsia"/>
              </w:rPr>
              <w:t>配置台车，光疗灯的高度、角度均可调节。</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5.新生儿亚低温治疗仪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hint="eastAsia"/>
              </w:rPr>
              <w:t>控温方式：既可单独对循环水控温，也可对患者进行智能主动控温</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w:t>
            </w:r>
          </w:p>
        </w:tc>
        <w:tc>
          <w:tcPr>
            <w:tcW w:w="4914" w:type="dxa"/>
            <w:vAlign w:val="center"/>
          </w:tcPr>
          <w:p>
            <w:pPr>
              <w:rPr>
                <w:rFonts w:hint="eastAsia" w:ascii="宋体" w:hAnsi="宋体"/>
                <w:szCs w:val="21"/>
              </w:rPr>
            </w:pPr>
            <w:r>
              <w:rPr>
                <w:rFonts w:hint="eastAsia"/>
              </w:rPr>
              <w:t>多种操作模式：包括但不限于手动模式、自动模式、监测模式、10度恒定模式、自定义恒定模式、智能10度梯度温控模式、智能自定义梯度等温控模式。</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b/>
                <w:bCs/>
              </w:rPr>
              <w:t>▲3</w:t>
            </w:r>
          </w:p>
        </w:tc>
        <w:tc>
          <w:tcPr>
            <w:tcW w:w="4914" w:type="dxa"/>
            <w:vAlign w:val="center"/>
          </w:tcPr>
          <w:p>
            <w:pPr>
              <w:rPr>
                <w:rFonts w:hint="eastAsia" w:ascii="宋体" w:hAnsi="宋体"/>
                <w:b/>
                <w:bCs/>
                <w:color w:val="FF0000"/>
                <w:szCs w:val="21"/>
              </w:rPr>
            </w:pPr>
            <w:r>
              <w:rPr>
                <w:rFonts w:hint="eastAsia"/>
              </w:rPr>
              <w:t>循环水升降温速率：升温速率：≥3℃/min，降温速率：≥5℃/min</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color w:val="auto"/>
              </w:rPr>
              <w:t>温度控制范围：水毯温度范围：4—42℃， 病人温度范围：30—40℃</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hint="eastAsia"/>
              </w:rPr>
              <w:t>循环水流量≥2.3L/min</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▲6</w:t>
            </w:r>
          </w:p>
        </w:tc>
        <w:tc>
          <w:tcPr>
            <w:tcW w:w="4914" w:type="dxa"/>
            <w:vAlign w:val="center"/>
          </w:tcPr>
          <w:p>
            <w:pPr>
              <w:rPr>
                <w:rFonts w:hint="eastAsia" w:ascii="宋体" w:hAnsi="宋体"/>
                <w:szCs w:val="21"/>
              </w:rPr>
            </w:pPr>
            <w:r>
              <w:rPr>
                <w:rFonts w:hint="eastAsia"/>
              </w:rPr>
              <w:t>连接水毯数量： 一机可同时携带</w:t>
            </w:r>
            <w:r>
              <w:rPr>
                <w:rFonts w:hint="eastAsia"/>
                <w:lang w:eastAsia="zh-CN"/>
              </w:rPr>
              <w:t>最少</w:t>
            </w:r>
            <w:r>
              <w:rPr>
                <w:rFonts w:hint="eastAsia"/>
              </w:rPr>
              <w:t>三毯工作；</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hint="eastAsia"/>
              </w:rPr>
              <w:t>水毯材料：聚氨脂类；</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8</w:t>
            </w:r>
          </w:p>
        </w:tc>
        <w:tc>
          <w:tcPr>
            <w:tcW w:w="4914" w:type="dxa"/>
            <w:vAlign w:val="center"/>
          </w:tcPr>
          <w:p>
            <w:pPr>
              <w:rPr>
                <w:rFonts w:hint="eastAsia" w:ascii="宋体" w:hAnsi="宋体"/>
                <w:szCs w:val="21"/>
              </w:rPr>
            </w:pPr>
            <w:r>
              <w:rPr>
                <w:rFonts w:hint="eastAsia"/>
              </w:rPr>
              <w:t>水毯接口：阴阳防错接口；</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hint="eastAsia" w:ascii="宋体" w:hAnsi="宋体"/>
                <w:szCs w:val="21"/>
              </w:rPr>
            </w:pPr>
            <w:r>
              <w:rPr>
                <w:rFonts w:hint="eastAsia"/>
              </w:rPr>
              <w:t>关机后，毯内水自动回仓。</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hint="eastAsia"/>
              </w:rPr>
              <w:t xml:space="preserve">报警：高温、低温、传感器、低水位、阻塞、低流量、电源等，并且文字提示；设备运行状态及各项报警信息； </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hint="eastAsia"/>
              </w:rPr>
              <w:t>具有患者体温传感器。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hint="eastAsia"/>
              </w:rPr>
              <w:t>信息显示窗口：文字提示机器运行状态、设备报警及故障信息。</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6.亚低温治疗仪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hint="eastAsia"/>
              </w:rPr>
              <w:t>控温方式：既可单独对循环水控温，也可对患者进行智能主动控温</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2</w:t>
            </w:r>
          </w:p>
        </w:tc>
        <w:tc>
          <w:tcPr>
            <w:tcW w:w="4914" w:type="dxa"/>
            <w:vAlign w:val="center"/>
          </w:tcPr>
          <w:p>
            <w:pPr>
              <w:rPr>
                <w:rFonts w:hint="eastAsia" w:ascii="宋体" w:hAnsi="宋体"/>
                <w:szCs w:val="21"/>
              </w:rPr>
            </w:pPr>
            <w:r>
              <w:rPr>
                <w:rFonts w:hint="eastAsia"/>
              </w:rPr>
              <w:t>多种操作模式：包括但不限于手动模式、自动模式、监测模式、10度恒定模式、自定义恒定模式、智能10度梯度温控模式、智能自定义梯度等温控模式</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rPr>
              <w:t>▲</w:t>
            </w:r>
            <w:r>
              <w:rPr>
                <w:rFonts w:hint="eastAsia"/>
                <w:b/>
                <w:bCs/>
              </w:rPr>
              <w:t>3</w:t>
            </w:r>
          </w:p>
        </w:tc>
        <w:tc>
          <w:tcPr>
            <w:tcW w:w="4914" w:type="dxa"/>
            <w:vAlign w:val="center"/>
          </w:tcPr>
          <w:p>
            <w:pPr>
              <w:rPr>
                <w:rFonts w:hint="eastAsia" w:ascii="宋体" w:hAnsi="宋体"/>
                <w:b/>
                <w:bCs/>
                <w:color w:val="FF0000"/>
                <w:szCs w:val="21"/>
              </w:rPr>
            </w:pPr>
            <w:r>
              <w:rPr>
                <w:rFonts w:hint="eastAsia"/>
              </w:rPr>
              <w:t>循环水升降温速率：升温速率：≥3℃/min，降温速率：≥5℃/min</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rPr>
              <w:t>温度控制范围：水毯温度范围：4—42℃， 病人温度范围：30—40℃。</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hint="eastAsia"/>
              </w:rPr>
              <w:t>循环水流量≥2.3L/min</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rPr>
              <w:t>▲</w:t>
            </w:r>
            <w:r>
              <w:rPr>
                <w:rFonts w:hint="eastAsia"/>
                <w:b/>
                <w:bCs/>
              </w:rPr>
              <w:t>6</w:t>
            </w:r>
          </w:p>
        </w:tc>
        <w:tc>
          <w:tcPr>
            <w:tcW w:w="4914" w:type="dxa"/>
            <w:vAlign w:val="center"/>
          </w:tcPr>
          <w:p>
            <w:pPr>
              <w:rPr>
                <w:rFonts w:hint="eastAsia" w:ascii="宋体" w:hAnsi="宋体"/>
                <w:szCs w:val="21"/>
              </w:rPr>
            </w:pPr>
            <w:r>
              <w:rPr>
                <w:rFonts w:hint="eastAsia"/>
              </w:rPr>
              <w:t>连接水毯数量： 一机可同时携带</w:t>
            </w:r>
            <w:r>
              <w:rPr>
                <w:rFonts w:hint="eastAsia"/>
                <w:lang w:eastAsia="zh-CN"/>
              </w:rPr>
              <w:t>最少</w:t>
            </w:r>
            <w:r>
              <w:rPr>
                <w:rFonts w:hint="eastAsia"/>
              </w:rPr>
              <w:t>三毯工作；</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hint="eastAsia"/>
              </w:rPr>
              <w:t>水毯材料：聚氨脂类；</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8</w:t>
            </w:r>
          </w:p>
        </w:tc>
        <w:tc>
          <w:tcPr>
            <w:tcW w:w="4914" w:type="dxa"/>
            <w:vAlign w:val="center"/>
          </w:tcPr>
          <w:p>
            <w:pPr>
              <w:rPr>
                <w:rFonts w:hint="eastAsia" w:ascii="宋体" w:hAnsi="宋体"/>
                <w:szCs w:val="21"/>
              </w:rPr>
            </w:pPr>
            <w:r>
              <w:rPr>
                <w:rFonts w:hint="eastAsia"/>
              </w:rPr>
              <w:t>水毯接口：阴阳防错接口；</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hint="eastAsia" w:ascii="宋体" w:hAnsi="宋体"/>
                <w:szCs w:val="21"/>
              </w:rPr>
            </w:pPr>
            <w:r>
              <w:rPr>
                <w:rFonts w:hint="eastAsia"/>
              </w:rPr>
              <w:t>关机后，毯内水自动回仓；</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hint="eastAsia"/>
              </w:rPr>
              <w:t xml:space="preserve">报警：高温、低温、传感器、低水位、阻塞、低流量、电源等，并且文字提示；设备运行状态及各项报警信息； </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hint="eastAsia"/>
              </w:rPr>
              <w:t>具有患者体温传感器，以便仪器能自动调节及控制患者体温变化</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hint="eastAsia"/>
              </w:rPr>
              <w:t>信息显示窗口：文字提示机器运行状态、设备报警及故障信息</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rPr>
          <w:rFonts w:hint="eastAsia"/>
          <w:lang w:eastAsia="zh-CN"/>
        </w:rPr>
      </w:pPr>
    </w:p>
    <w:p>
      <w:pPr>
        <w:spacing w:line="360" w:lineRule="auto"/>
        <w:ind w:firstLine="480" w:firstLineChars="200"/>
        <w:outlineLvl w:val="9"/>
        <w:rPr>
          <w:rFonts w:hint="eastAsia" w:ascii="宋体" w:hAnsi="宋体"/>
          <w:sz w:val="24"/>
          <w:u w:val="none"/>
        </w:rPr>
      </w:pPr>
      <w:r>
        <w:rPr>
          <w:rFonts w:hint="eastAsia" w:ascii="宋体" w:hAnsi="宋体"/>
          <w:sz w:val="24"/>
          <w:u w:val="none"/>
        </w:rPr>
        <w:t>7.盆底神经肌肉刺激治疗仪</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914"/>
        <w:gridCol w:w="1548"/>
        <w:gridCol w:w="1212"/>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71" w:type="dxa"/>
            <w:vAlign w:val="center"/>
          </w:tcPr>
          <w:p>
            <w:pPr>
              <w:jc w:val="center"/>
              <w:rPr>
                <w:rFonts w:ascii="宋体" w:hAnsi="宋体"/>
                <w:b/>
                <w:bCs w:val="0"/>
                <w:szCs w:val="21"/>
              </w:rPr>
            </w:pPr>
            <w:r>
              <w:rPr>
                <w:rFonts w:hint="eastAsia" w:ascii="宋体" w:hAnsi="宋体" w:cs="Arial"/>
                <w:b/>
                <w:bCs w:val="0"/>
                <w:szCs w:val="21"/>
              </w:rPr>
              <w:t>序号</w:t>
            </w:r>
          </w:p>
        </w:tc>
        <w:tc>
          <w:tcPr>
            <w:tcW w:w="4914" w:type="dxa"/>
            <w:vAlign w:val="center"/>
          </w:tcPr>
          <w:p>
            <w:pPr>
              <w:jc w:val="center"/>
              <w:rPr>
                <w:rFonts w:hint="eastAsia" w:ascii="宋体" w:hAnsi="宋体" w:cs="宋体"/>
                <w:b/>
                <w:bCs w:val="0"/>
                <w:szCs w:val="21"/>
              </w:rPr>
            </w:pPr>
            <w:r>
              <w:rPr>
                <w:rFonts w:hint="eastAsia" w:ascii="宋体" w:hAnsi="宋体" w:cs="Arial"/>
                <w:b/>
                <w:bCs w:val="0"/>
                <w:szCs w:val="21"/>
              </w:rPr>
              <w:t>招标技术要求</w:t>
            </w:r>
          </w:p>
        </w:tc>
        <w:tc>
          <w:tcPr>
            <w:tcW w:w="1548" w:type="dxa"/>
            <w:vAlign w:val="center"/>
          </w:tcPr>
          <w:p>
            <w:pPr>
              <w:jc w:val="center"/>
              <w:rPr>
                <w:rFonts w:hint="eastAsia" w:ascii="宋体" w:hAnsi="宋体" w:cs="宋体"/>
                <w:b/>
                <w:bCs w:val="0"/>
                <w:szCs w:val="21"/>
              </w:rPr>
            </w:pPr>
            <w:r>
              <w:rPr>
                <w:rFonts w:hint="eastAsia" w:ascii="宋体" w:hAnsi="宋体" w:cs="Arial"/>
                <w:b/>
                <w:bCs w:val="0"/>
                <w:szCs w:val="21"/>
              </w:rPr>
              <w:t>投标技术响应</w:t>
            </w:r>
          </w:p>
        </w:tc>
        <w:tc>
          <w:tcPr>
            <w:tcW w:w="1212" w:type="dxa"/>
            <w:vAlign w:val="center"/>
          </w:tcPr>
          <w:p>
            <w:pPr>
              <w:jc w:val="center"/>
              <w:rPr>
                <w:rFonts w:hint="eastAsia" w:ascii="宋体" w:hAnsi="宋体" w:cs="宋体"/>
                <w:b/>
                <w:bCs w:val="0"/>
                <w:szCs w:val="21"/>
              </w:rPr>
            </w:pPr>
            <w:r>
              <w:rPr>
                <w:rFonts w:hint="eastAsia" w:ascii="宋体" w:hAnsi="宋体" w:cs="Arial"/>
                <w:b/>
                <w:bCs w:val="0"/>
                <w:szCs w:val="21"/>
              </w:rPr>
              <w:t>偏离情况</w:t>
            </w:r>
          </w:p>
        </w:tc>
        <w:tc>
          <w:tcPr>
            <w:tcW w:w="793" w:type="dxa"/>
            <w:vAlign w:val="center"/>
          </w:tcPr>
          <w:p>
            <w:pPr>
              <w:jc w:val="center"/>
              <w:rPr>
                <w:rFonts w:hint="eastAsia" w:ascii="宋体" w:hAnsi="宋体" w:cs="宋体"/>
                <w:b/>
                <w:bCs w:val="0"/>
                <w:szCs w:val="21"/>
              </w:rPr>
            </w:pPr>
            <w:r>
              <w:rPr>
                <w:rFonts w:hint="eastAsia" w:ascii="宋体" w:hAnsi="宋体" w:cs="Arial"/>
                <w:b/>
                <w:bCs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ascii="宋体" w:hAnsi="宋体"/>
                <w:szCs w:val="21"/>
              </w:rPr>
            </w:pPr>
            <w:r>
              <w:rPr>
                <w:rFonts w:hint="eastAsia"/>
                <w:b/>
                <w:bCs/>
              </w:rPr>
              <w:t>1</w:t>
            </w:r>
          </w:p>
        </w:tc>
        <w:tc>
          <w:tcPr>
            <w:tcW w:w="4914" w:type="dxa"/>
            <w:vAlign w:val="center"/>
          </w:tcPr>
          <w:p>
            <w:pPr>
              <w:rPr>
                <w:rFonts w:hint="eastAsia" w:ascii="宋体" w:hAnsi="宋体"/>
                <w:szCs w:val="21"/>
              </w:rPr>
            </w:pPr>
            <w:r>
              <w:rPr>
                <w:rFonts w:hint="eastAsia"/>
              </w:rPr>
              <w:t>电刺激治疗通道数量≥4个</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w:t>
            </w:r>
          </w:p>
        </w:tc>
        <w:tc>
          <w:tcPr>
            <w:tcW w:w="4914" w:type="dxa"/>
            <w:vAlign w:val="center"/>
          </w:tcPr>
          <w:p>
            <w:pPr>
              <w:rPr>
                <w:rFonts w:hint="eastAsia" w:ascii="宋体" w:hAnsi="宋体"/>
                <w:szCs w:val="21"/>
              </w:rPr>
            </w:pPr>
            <w:r>
              <w:rPr>
                <w:rFonts w:hint="eastAsia"/>
              </w:rPr>
              <w:t>肌电采集通道数量≥2个</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eastAsia="zh-CN"/>
              </w:rPr>
            </w:pPr>
            <w:r>
              <w:rPr>
                <w:rFonts w:hint="eastAsia"/>
                <w:b/>
                <w:bCs/>
              </w:rPr>
              <w:t>3</w:t>
            </w:r>
          </w:p>
        </w:tc>
        <w:tc>
          <w:tcPr>
            <w:tcW w:w="4914" w:type="dxa"/>
            <w:vAlign w:val="center"/>
          </w:tcPr>
          <w:p>
            <w:pPr>
              <w:rPr>
                <w:rFonts w:hint="eastAsia" w:ascii="宋体" w:hAnsi="宋体"/>
                <w:b/>
                <w:bCs/>
                <w:color w:val="FF0000"/>
                <w:szCs w:val="21"/>
              </w:rPr>
            </w:pPr>
            <w:r>
              <w:rPr>
                <w:rFonts w:hint="eastAsia"/>
              </w:rPr>
              <w:t>压力采集通道数量≥2个，可接阴道压力模块和肛肠压力模块。</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lang w:val="en-US" w:eastAsia="zh-CN"/>
              </w:rPr>
            </w:pPr>
            <w:r>
              <w:rPr>
                <w:rFonts w:hint="eastAsia"/>
                <w:b/>
                <w:bCs/>
              </w:rPr>
              <w:t>4</w:t>
            </w:r>
          </w:p>
        </w:tc>
        <w:tc>
          <w:tcPr>
            <w:tcW w:w="4914" w:type="dxa"/>
            <w:vAlign w:val="center"/>
          </w:tcPr>
          <w:p>
            <w:pPr>
              <w:rPr>
                <w:rFonts w:hint="eastAsia" w:ascii="宋体" w:hAnsi="宋体"/>
                <w:b/>
                <w:bCs/>
                <w:color w:val="FF0000"/>
                <w:szCs w:val="21"/>
              </w:rPr>
            </w:pPr>
            <w:r>
              <w:rPr>
                <w:rFonts w:hint="eastAsia"/>
              </w:rPr>
              <w:t>外部数字信号通道：外部数字信号采集与治疗通道≥1个，可接力量传感器或张力传感器。</w:t>
            </w:r>
          </w:p>
        </w:tc>
        <w:tc>
          <w:tcPr>
            <w:tcW w:w="1548" w:type="dxa"/>
            <w:vAlign w:val="top"/>
          </w:tcPr>
          <w:p>
            <w:pPr>
              <w:textAlignment w:val="center"/>
              <w:rPr>
                <w:rFonts w:hint="eastAsia" w:ascii="宋体" w:hAnsi="宋体"/>
                <w:b/>
                <w:bCs/>
                <w:color w:val="FF0000"/>
                <w:szCs w:val="21"/>
              </w:rPr>
            </w:pPr>
          </w:p>
        </w:tc>
        <w:tc>
          <w:tcPr>
            <w:tcW w:w="1212" w:type="dxa"/>
            <w:vAlign w:val="top"/>
          </w:tcPr>
          <w:p>
            <w:pPr>
              <w:textAlignment w:val="center"/>
              <w:rPr>
                <w:rFonts w:hint="eastAsia" w:ascii="宋体" w:hAnsi="宋体"/>
                <w:b/>
                <w:bCs/>
                <w:color w:val="FF0000"/>
                <w:szCs w:val="21"/>
              </w:rPr>
            </w:pPr>
          </w:p>
        </w:tc>
        <w:tc>
          <w:tcPr>
            <w:tcW w:w="793" w:type="dxa"/>
            <w:vAlign w:val="top"/>
          </w:tcPr>
          <w:p>
            <w:pPr>
              <w:textAlignment w:val="center"/>
              <w:rPr>
                <w:rFonts w:hint="eastAsia" w:ascii="宋体" w:hAnsi="宋体"/>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5</w:t>
            </w:r>
          </w:p>
        </w:tc>
        <w:tc>
          <w:tcPr>
            <w:tcW w:w="4914" w:type="dxa"/>
            <w:vAlign w:val="center"/>
          </w:tcPr>
          <w:p>
            <w:pPr>
              <w:rPr>
                <w:rFonts w:hint="eastAsia" w:ascii="宋体" w:hAnsi="宋体"/>
                <w:szCs w:val="21"/>
              </w:rPr>
            </w:pPr>
            <w:r>
              <w:rPr>
                <w:rFonts w:hint="eastAsia"/>
              </w:rPr>
              <w:t>电刺激和采集同步治疗通道数量≥4个。</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ascii="宋体" w:hAnsi="宋体" w:cs="宋体"/>
                <w:kern w:val="0"/>
                <w:szCs w:val="21"/>
                <w:lang w:bidi="ar"/>
              </w:rPr>
              <w:t>▲</w:t>
            </w:r>
            <w:r>
              <w:rPr>
                <w:rFonts w:hint="eastAsia"/>
                <w:b/>
                <w:bCs/>
              </w:rPr>
              <w:t>6</w:t>
            </w:r>
          </w:p>
        </w:tc>
        <w:tc>
          <w:tcPr>
            <w:tcW w:w="4914" w:type="dxa"/>
            <w:vAlign w:val="center"/>
          </w:tcPr>
          <w:p>
            <w:pPr>
              <w:rPr>
                <w:rFonts w:hint="eastAsia" w:ascii="宋体" w:hAnsi="宋体"/>
                <w:szCs w:val="21"/>
              </w:rPr>
            </w:pPr>
            <w:r>
              <w:rPr>
                <w:rFonts w:hint="eastAsia"/>
              </w:rPr>
              <w:t>电流发生器≥2个。</w:t>
            </w:r>
          </w:p>
        </w:tc>
        <w:tc>
          <w:tcPr>
            <w:tcW w:w="1548" w:type="dxa"/>
            <w:vAlign w:val="top"/>
          </w:tcPr>
          <w:p>
            <w:pPr>
              <w:textAlignment w:val="center"/>
              <w:rPr>
                <w:rFonts w:hint="eastAsia" w:ascii="宋体" w:hAnsi="宋体"/>
                <w:szCs w:val="21"/>
              </w:rPr>
            </w:pPr>
          </w:p>
        </w:tc>
        <w:tc>
          <w:tcPr>
            <w:tcW w:w="1212" w:type="dxa"/>
            <w:vAlign w:val="top"/>
          </w:tcPr>
          <w:p>
            <w:pPr>
              <w:textAlignment w:val="center"/>
              <w:rPr>
                <w:rFonts w:hint="eastAsia" w:ascii="宋体" w:hAnsi="宋体"/>
                <w:szCs w:val="21"/>
              </w:rPr>
            </w:pPr>
          </w:p>
        </w:tc>
        <w:tc>
          <w:tcPr>
            <w:tcW w:w="793" w:type="dxa"/>
            <w:vAlign w:val="top"/>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7</w:t>
            </w:r>
          </w:p>
        </w:tc>
        <w:tc>
          <w:tcPr>
            <w:tcW w:w="4914" w:type="dxa"/>
            <w:vAlign w:val="center"/>
          </w:tcPr>
          <w:p>
            <w:pPr>
              <w:rPr>
                <w:rFonts w:hint="eastAsia" w:ascii="宋体" w:hAnsi="宋体"/>
                <w:szCs w:val="21"/>
              </w:rPr>
            </w:pPr>
            <w:r>
              <w:rPr>
                <w:rFonts w:hint="eastAsia"/>
              </w:rPr>
              <w:t>可选配件包含压力传感器、角度传感器、力量传感器、张力传感器。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ascii="宋体" w:hAnsi="宋体" w:cs="宋体"/>
                <w:kern w:val="0"/>
                <w:szCs w:val="21"/>
                <w:lang w:bidi="ar"/>
              </w:rPr>
              <w:t>▲</w:t>
            </w:r>
            <w:r>
              <w:rPr>
                <w:rFonts w:hint="eastAsia"/>
                <w:b/>
                <w:bCs/>
              </w:rPr>
              <w:t>8</w:t>
            </w:r>
          </w:p>
        </w:tc>
        <w:tc>
          <w:tcPr>
            <w:tcW w:w="4914" w:type="dxa"/>
            <w:vAlign w:val="center"/>
          </w:tcPr>
          <w:p>
            <w:pPr>
              <w:rPr>
                <w:rFonts w:hint="eastAsia" w:ascii="宋体" w:hAnsi="宋体"/>
                <w:szCs w:val="21"/>
              </w:rPr>
            </w:pPr>
            <w:r>
              <w:rPr>
                <w:rFonts w:hint="eastAsia"/>
              </w:rPr>
              <w:t>电刺激电流类型≥9种，包括：直流电流、单向脉冲、双向脉冲、补充电流脉冲、同步补充脉冲、同步双向脉冲、单向半正弦、双向半正弦、平均值（正弦）。</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9</w:t>
            </w:r>
          </w:p>
        </w:tc>
        <w:tc>
          <w:tcPr>
            <w:tcW w:w="4914" w:type="dxa"/>
            <w:vAlign w:val="center"/>
          </w:tcPr>
          <w:p>
            <w:pPr>
              <w:rPr>
                <w:rFonts w:hint="eastAsia" w:ascii="宋体" w:hAnsi="宋体"/>
                <w:szCs w:val="21"/>
              </w:rPr>
            </w:pPr>
            <w:r>
              <w:rPr>
                <w:rFonts w:hint="eastAsia"/>
                <w:color w:val="auto"/>
              </w:rPr>
              <w:t>刺激电流强度：0-100mA</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r>
              <w:rPr>
                <w:rFonts w:hint="eastAsia"/>
                <w:color w:val="auto"/>
              </w:rPr>
              <w:t>任意调整，调节精度0.5 mA。</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10</w:t>
            </w:r>
          </w:p>
        </w:tc>
        <w:tc>
          <w:tcPr>
            <w:tcW w:w="4914" w:type="dxa"/>
            <w:vAlign w:val="center"/>
          </w:tcPr>
          <w:p>
            <w:pPr>
              <w:rPr>
                <w:rFonts w:hint="eastAsia" w:ascii="宋体" w:hAnsi="宋体"/>
                <w:szCs w:val="21"/>
              </w:rPr>
            </w:pPr>
            <w:r>
              <w:rPr>
                <w:rFonts w:hint="eastAsia"/>
                <w:color w:val="auto"/>
              </w:rPr>
              <w:t>刺激电流频率：1-450Hz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11</w:t>
            </w:r>
          </w:p>
        </w:tc>
        <w:tc>
          <w:tcPr>
            <w:tcW w:w="4914" w:type="dxa"/>
            <w:vAlign w:val="center"/>
          </w:tcPr>
          <w:p>
            <w:pPr>
              <w:rPr>
                <w:rFonts w:hint="eastAsia" w:ascii="宋体" w:hAnsi="宋体"/>
                <w:szCs w:val="21"/>
              </w:rPr>
            </w:pPr>
            <w:r>
              <w:rPr>
                <w:rFonts w:hint="eastAsia"/>
                <w:color w:val="auto"/>
              </w:rPr>
              <w:t>脉冲宽度：50μs～2000μs</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12</w:t>
            </w:r>
          </w:p>
        </w:tc>
        <w:tc>
          <w:tcPr>
            <w:tcW w:w="4914" w:type="dxa"/>
            <w:vAlign w:val="center"/>
          </w:tcPr>
          <w:p>
            <w:pPr>
              <w:rPr>
                <w:rFonts w:hint="eastAsia" w:ascii="宋体" w:hAnsi="宋体"/>
                <w:szCs w:val="21"/>
              </w:rPr>
            </w:pPr>
            <w:r>
              <w:rPr>
                <w:rFonts w:hint="eastAsia"/>
                <w:color w:val="auto"/>
              </w:rPr>
              <w:t>肌电放大器的性能：测量范围：0μV～2000μV</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13</w:t>
            </w:r>
          </w:p>
        </w:tc>
        <w:tc>
          <w:tcPr>
            <w:tcW w:w="4914" w:type="dxa"/>
            <w:vAlign w:val="center"/>
          </w:tcPr>
          <w:p>
            <w:pPr>
              <w:rPr>
                <w:rFonts w:hint="eastAsia" w:ascii="宋体" w:hAnsi="宋体"/>
                <w:szCs w:val="21"/>
              </w:rPr>
            </w:pPr>
            <w:r>
              <w:rPr>
                <w:rFonts w:hint="eastAsia"/>
                <w:color w:val="auto"/>
              </w:rPr>
              <w:t>直流电最大输出25mA、强度增减步阶0.1 mA</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14</w:t>
            </w:r>
          </w:p>
        </w:tc>
        <w:tc>
          <w:tcPr>
            <w:tcW w:w="4914" w:type="dxa"/>
            <w:vAlign w:val="center"/>
          </w:tcPr>
          <w:p>
            <w:pPr>
              <w:rPr>
                <w:rFonts w:hint="eastAsia" w:ascii="宋体" w:hAnsi="宋体"/>
                <w:szCs w:val="21"/>
              </w:rPr>
            </w:pPr>
            <w:r>
              <w:rPr>
                <w:rFonts w:hint="eastAsia"/>
                <w:color w:val="auto"/>
              </w:rPr>
              <w:t>单向脉冲最大输出100mA、强度增减步阶0.5 mA、脉宽100-2000μs、频率1-450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15</w:t>
            </w:r>
          </w:p>
        </w:tc>
        <w:tc>
          <w:tcPr>
            <w:tcW w:w="4914" w:type="dxa"/>
            <w:vAlign w:val="center"/>
          </w:tcPr>
          <w:p>
            <w:pPr>
              <w:rPr>
                <w:rFonts w:hint="eastAsia" w:ascii="宋体" w:hAnsi="宋体"/>
                <w:szCs w:val="21"/>
              </w:rPr>
            </w:pPr>
            <w:r>
              <w:rPr>
                <w:rFonts w:hint="eastAsia"/>
                <w:color w:val="auto"/>
              </w:rPr>
              <w:t>双向脉冲最大输出100mA、强度增减步阶0.5 mA、脉宽50-1000μs、频率1-450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16</w:t>
            </w:r>
          </w:p>
        </w:tc>
        <w:tc>
          <w:tcPr>
            <w:tcW w:w="4914" w:type="dxa"/>
            <w:vAlign w:val="center"/>
          </w:tcPr>
          <w:p>
            <w:pPr>
              <w:rPr>
                <w:rFonts w:hint="eastAsia" w:ascii="宋体" w:hAnsi="宋体"/>
                <w:szCs w:val="21"/>
              </w:rPr>
            </w:pPr>
            <w:r>
              <w:rPr>
                <w:rFonts w:hint="eastAsia"/>
                <w:color w:val="auto"/>
              </w:rPr>
              <w:t>补充电流脉冲最大输出100mA、强度增减步阶0.5 mA、脉宽100-700μs、频率1-450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ascii="宋体" w:hAnsi="宋体" w:cs="宋体"/>
                <w:kern w:val="0"/>
                <w:szCs w:val="21"/>
                <w:lang w:bidi="ar"/>
              </w:rPr>
              <w:t>▲</w:t>
            </w:r>
            <w:r>
              <w:rPr>
                <w:rFonts w:hint="eastAsia"/>
                <w:b/>
                <w:bCs/>
              </w:rPr>
              <w:t>17</w:t>
            </w:r>
          </w:p>
        </w:tc>
        <w:tc>
          <w:tcPr>
            <w:tcW w:w="4914" w:type="dxa"/>
            <w:vAlign w:val="center"/>
          </w:tcPr>
          <w:p>
            <w:pPr>
              <w:rPr>
                <w:rFonts w:hint="eastAsia" w:ascii="宋体" w:hAnsi="宋体"/>
                <w:szCs w:val="21"/>
              </w:rPr>
            </w:pPr>
            <w:r>
              <w:rPr>
                <w:rFonts w:hint="eastAsia"/>
                <w:color w:val="auto"/>
              </w:rPr>
              <w:t>同步补充脉冲最大输出100mA、强度增减步阶0.5 mA、脉宽200-700μs、频率1-350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18</w:t>
            </w:r>
          </w:p>
        </w:tc>
        <w:tc>
          <w:tcPr>
            <w:tcW w:w="4914" w:type="dxa"/>
            <w:vAlign w:val="center"/>
          </w:tcPr>
          <w:p>
            <w:pPr>
              <w:rPr>
                <w:rFonts w:hint="eastAsia" w:ascii="宋体" w:hAnsi="宋体"/>
                <w:szCs w:val="21"/>
              </w:rPr>
            </w:pPr>
            <w:r>
              <w:rPr>
                <w:rFonts w:hint="eastAsia"/>
                <w:color w:val="auto"/>
              </w:rPr>
              <w:t>同步双向脉冲最大输出100mA、强度增减步阶0.5 mA、脉宽300-1000μs、频率1-400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ascii="宋体" w:hAnsi="宋体" w:cs="宋体"/>
                <w:kern w:val="0"/>
                <w:szCs w:val="21"/>
                <w:lang w:bidi="ar"/>
              </w:rPr>
              <w:t>▲</w:t>
            </w:r>
            <w:r>
              <w:rPr>
                <w:rFonts w:hint="eastAsia"/>
                <w:b/>
                <w:bCs/>
              </w:rPr>
              <w:t>19</w:t>
            </w:r>
          </w:p>
        </w:tc>
        <w:tc>
          <w:tcPr>
            <w:tcW w:w="4914" w:type="dxa"/>
            <w:vAlign w:val="center"/>
          </w:tcPr>
          <w:p>
            <w:pPr>
              <w:rPr>
                <w:rFonts w:hint="eastAsia" w:ascii="宋体" w:hAnsi="宋体"/>
                <w:szCs w:val="21"/>
              </w:rPr>
            </w:pPr>
            <w:r>
              <w:rPr>
                <w:rFonts w:hint="eastAsia"/>
                <w:color w:val="auto"/>
              </w:rPr>
              <w:t>单向半正弦最大输出25mA、强度增减步阶0.1 mA、频率1-50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20</w:t>
            </w:r>
          </w:p>
        </w:tc>
        <w:tc>
          <w:tcPr>
            <w:tcW w:w="4914" w:type="dxa"/>
            <w:vAlign w:val="center"/>
          </w:tcPr>
          <w:p>
            <w:pPr>
              <w:rPr>
                <w:rFonts w:hint="eastAsia" w:ascii="宋体" w:hAnsi="宋体"/>
                <w:szCs w:val="21"/>
              </w:rPr>
            </w:pPr>
            <w:r>
              <w:rPr>
                <w:rFonts w:hint="eastAsia"/>
                <w:color w:val="auto"/>
              </w:rPr>
              <w:t>双向半正弦最大输出25mA、强度增减步阶0.1 mA、频率1-100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21</w:t>
            </w:r>
          </w:p>
        </w:tc>
        <w:tc>
          <w:tcPr>
            <w:tcW w:w="4914" w:type="dxa"/>
            <w:vAlign w:val="center"/>
          </w:tcPr>
          <w:p>
            <w:pPr>
              <w:rPr>
                <w:rFonts w:hint="eastAsia" w:ascii="宋体" w:hAnsi="宋体"/>
                <w:szCs w:val="21"/>
              </w:rPr>
            </w:pPr>
            <w:r>
              <w:rPr>
                <w:rFonts w:hint="eastAsia"/>
                <w:color w:val="auto"/>
              </w:rPr>
              <w:t>平均值（正弦）最大输出25mA、强度增减步阶0.1 mA、频率1-50 Hz</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22</w:t>
            </w:r>
          </w:p>
        </w:tc>
        <w:tc>
          <w:tcPr>
            <w:tcW w:w="4914" w:type="dxa"/>
            <w:vAlign w:val="center"/>
          </w:tcPr>
          <w:p>
            <w:pPr>
              <w:rPr>
                <w:rFonts w:hint="eastAsia" w:ascii="宋体" w:hAnsi="宋体"/>
                <w:szCs w:val="21"/>
              </w:rPr>
            </w:pPr>
            <w:r>
              <w:rPr>
                <w:rFonts w:hint="eastAsia"/>
                <w:color w:val="auto"/>
              </w:rPr>
              <w:t>单向脉冲、双向脉冲、补充电流脉冲、同步补充脉冲、同步双向脉冲、单向半正弦、双向半正弦、平均值（正弦）类型电流，延迟时间0-120 sec、上升时间0-10 sec、平台时间0-30 sec、下降时间0-10 sec、间歇时间0-30 sec。</w:t>
            </w:r>
            <w:r>
              <w:rPr>
                <w:rFonts w:hint="eastAsia"/>
                <w:color w:val="auto"/>
                <w:lang w:eastAsia="zh-CN"/>
              </w:rPr>
              <w:t>（</w:t>
            </w:r>
            <w:r>
              <w:rPr>
                <w:rFonts w:hint="eastAsia"/>
                <w:color w:val="auto"/>
                <w:lang w:val="en-US" w:eastAsia="zh-CN"/>
              </w:rPr>
              <w:t>投标</w:t>
            </w:r>
            <w:r>
              <w:rPr>
                <w:rFonts w:hint="eastAsia" w:ascii="宋体" w:hAnsi="宋体" w:eastAsia="宋体" w:cs="Times New Roman"/>
                <w:color w:val="auto"/>
                <w:szCs w:val="21"/>
                <w:lang w:val="en-US" w:eastAsia="zh-CN"/>
              </w:rPr>
              <w:t>产品参数区间与招标要求不一致的均视为负偏离</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23</w:t>
            </w:r>
          </w:p>
        </w:tc>
        <w:tc>
          <w:tcPr>
            <w:tcW w:w="4914" w:type="dxa"/>
            <w:vAlign w:val="center"/>
          </w:tcPr>
          <w:p>
            <w:pPr>
              <w:rPr>
                <w:rFonts w:hint="eastAsia" w:ascii="宋体" w:hAnsi="宋体"/>
                <w:szCs w:val="21"/>
              </w:rPr>
            </w:pPr>
            <w:r>
              <w:rPr>
                <w:rFonts w:hint="eastAsia"/>
                <w:color w:val="auto"/>
              </w:rPr>
              <w:t>每个治疗方案都具有注解、组成、电极示意图及治疗建议。</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24</w:t>
            </w:r>
          </w:p>
        </w:tc>
        <w:tc>
          <w:tcPr>
            <w:tcW w:w="4914" w:type="dxa"/>
            <w:vAlign w:val="center"/>
          </w:tcPr>
          <w:p>
            <w:pPr>
              <w:rPr>
                <w:rFonts w:hint="eastAsia" w:ascii="宋体" w:hAnsi="宋体"/>
                <w:szCs w:val="21"/>
              </w:rPr>
            </w:pPr>
            <w:r>
              <w:rPr>
                <w:rFonts w:hint="eastAsia"/>
                <w:color w:val="auto"/>
              </w:rPr>
              <w:t>方案的注解包含：适应症、禁忌症</w:t>
            </w:r>
            <w:r>
              <w:rPr>
                <w:rFonts w:hint="eastAsia"/>
                <w:color w:val="auto"/>
                <w:lang w:eastAsia="zh-CN"/>
              </w:rPr>
              <w:t>。</w:t>
            </w:r>
            <w:r>
              <w:rPr>
                <w:rFonts w:hint="eastAsia"/>
                <w:color w:val="auto"/>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25</w:t>
            </w:r>
          </w:p>
        </w:tc>
        <w:tc>
          <w:tcPr>
            <w:tcW w:w="4914" w:type="dxa"/>
            <w:vAlign w:val="center"/>
          </w:tcPr>
          <w:p>
            <w:pPr>
              <w:rPr>
                <w:rFonts w:hint="eastAsia" w:ascii="宋体" w:hAnsi="宋体"/>
                <w:szCs w:val="21"/>
              </w:rPr>
            </w:pPr>
            <w:r>
              <w:rPr>
                <w:rFonts w:hint="eastAsia"/>
                <w:color w:val="auto"/>
              </w:rPr>
              <w:t>数据处理：数据可备份、统计、分析、更新，支持数据动态存储。</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26</w:t>
            </w:r>
          </w:p>
        </w:tc>
        <w:tc>
          <w:tcPr>
            <w:tcW w:w="4914" w:type="dxa"/>
            <w:vAlign w:val="center"/>
          </w:tcPr>
          <w:p>
            <w:pPr>
              <w:rPr>
                <w:rFonts w:hint="eastAsia" w:ascii="宋体" w:hAnsi="宋体"/>
                <w:szCs w:val="21"/>
              </w:rPr>
            </w:pPr>
            <w:r>
              <w:rPr>
                <w:rFonts w:hint="eastAsia"/>
                <w:color w:val="auto"/>
              </w:rPr>
              <w:t>异常情况下电流受限，设备自动停止治疗</w:t>
            </w:r>
            <w:r>
              <w:rPr>
                <w:rFonts w:hint="eastAsia"/>
                <w:color w:val="auto"/>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27</w:t>
            </w:r>
          </w:p>
        </w:tc>
        <w:tc>
          <w:tcPr>
            <w:tcW w:w="4914" w:type="dxa"/>
            <w:vAlign w:val="center"/>
          </w:tcPr>
          <w:p>
            <w:pPr>
              <w:rPr>
                <w:rFonts w:hint="eastAsia" w:ascii="宋体" w:hAnsi="宋体"/>
                <w:szCs w:val="21"/>
              </w:rPr>
            </w:pPr>
            <w:r>
              <w:rPr>
                <w:rFonts w:hint="eastAsia"/>
                <w:color w:val="auto"/>
              </w:rPr>
              <w:t>治疗过程中</w:t>
            </w:r>
            <w:r>
              <w:rPr>
                <w:rFonts w:hint="eastAsia"/>
                <w:color w:val="auto"/>
                <w:lang w:eastAsia="zh-CN"/>
              </w:rPr>
              <w:t>至少</w:t>
            </w:r>
            <w:r>
              <w:rPr>
                <w:rFonts w:hint="eastAsia"/>
                <w:color w:val="auto"/>
              </w:rPr>
              <w:t>14种基本治疗参数可调整，包括电刺激的电流类型、强度、频率、脉宽、波形，肌电位最小值与最大值的表示、反馈训练波形，治疗时间、休息时间、电刺激上升时间、下降时间、休息时间、阶段工作时间等。</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28</w:t>
            </w:r>
          </w:p>
        </w:tc>
        <w:tc>
          <w:tcPr>
            <w:tcW w:w="4914" w:type="dxa"/>
            <w:vAlign w:val="center"/>
          </w:tcPr>
          <w:p>
            <w:pPr>
              <w:rPr>
                <w:rFonts w:hint="eastAsia" w:ascii="宋体" w:hAnsi="宋体"/>
                <w:szCs w:val="21"/>
              </w:rPr>
            </w:pPr>
            <w:r>
              <w:rPr>
                <w:rFonts w:hint="eastAsia"/>
                <w:color w:val="auto"/>
              </w:rPr>
              <w:t>治疗分类：机理≥8种：止痛、无菌性炎症、静脉淋巴、神经肌肉反射、离子导入、纤维组织、放松、营养；病理≥5种：肛门直肠、皮肤病、风湿病、肌肉痉挛、泌尿生殖。</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29</w:t>
            </w:r>
          </w:p>
        </w:tc>
        <w:tc>
          <w:tcPr>
            <w:tcW w:w="4914" w:type="dxa"/>
            <w:vAlign w:val="center"/>
          </w:tcPr>
          <w:p>
            <w:pPr>
              <w:rPr>
                <w:rFonts w:hint="eastAsia" w:ascii="宋体" w:hAnsi="宋体"/>
                <w:szCs w:val="21"/>
              </w:rPr>
            </w:pPr>
            <w:r>
              <w:rPr>
                <w:rFonts w:hint="eastAsia"/>
              </w:rPr>
              <w:t>预置治疗方案数≥262个</w:t>
            </w:r>
            <w:r>
              <w:rPr>
                <w:rFonts w:hint="eastAsia"/>
                <w:lang w:eastAsia="zh-CN"/>
              </w:rPr>
              <w:t>。</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30</w:t>
            </w:r>
          </w:p>
        </w:tc>
        <w:tc>
          <w:tcPr>
            <w:tcW w:w="4914" w:type="dxa"/>
            <w:vAlign w:val="center"/>
          </w:tcPr>
          <w:p>
            <w:pPr>
              <w:rPr>
                <w:rFonts w:hint="eastAsia" w:ascii="宋体" w:hAnsi="宋体"/>
                <w:szCs w:val="21"/>
              </w:rPr>
            </w:pPr>
            <w:r>
              <w:rPr>
                <w:rFonts w:hint="eastAsia"/>
              </w:rPr>
              <w:t>编制新的治疗方案数10万个以上</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71" w:type="dxa"/>
            <w:vAlign w:val="center"/>
          </w:tcPr>
          <w:p>
            <w:pPr>
              <w:jc w:val="center"/>
              <w:rPr>
                <w:rFonts w:hint="eastAsia" w:ascii="宋体" w:hAnsi="宋体"/>
                <w:szCs w:val="21"/>
              </w:rPr>
            </w:pPr>
            <w:r>
              <w:rPr>
                <w:rFonts w:hint="eastAsia"/>
                <w:b/>
                <w:bCs/>
              </w:rPr>
              <w:t>31</w:t>
            </w:r>
          </w:p>
        </w:tc>
        <w:tc>
          <w:tcPr>
            <w:tcW w:w="4914" w:type="dxa"/>
            <w:vAlign w:val="center"/>
          </w:tcPr>
          <w:p>
            <w:pPr>
              <w:rPr>
                <w:rFonts w:hint="eastAsia" w:ascii="宋体" w:hAnsi="宋体"/>
                <w:szCs w:val="21"/>
              </w:rPr>
            </w:pPr>
            <w:r>
              <w:rPr>
                <w:rFonts w:hint="eastAsia"/>
              </w:rPr>
              <w:t>解剖学图片和电极位置图≥200张</w:t>
            </w:r>
          </w:p>
        </w:tc>
        <w:tc>
          <w:tcPr>
            <w:tcW w:w="1548" w:type="dxa"/>
          </w:tcPr>
          <w:p>
            <w:pPr>
              <w:textAlignment w:val="center"/>
              <w:rPr>
                <w:rFonts w:hint="eastAsia" w:ascii="宋体" w:hAnsi="宋体"/>
                <w:szCs w:val="21"/>
              </w:rPr>
            </w:pPr>
          </w:p>
        </w:tc>
        <w:tc>
          <w:tcPr>
            <w:tcW w:w="1212" w:type="dxa"/>
          </w:tcPr>
          <w:p>
            <w:pPr>
              <w:textAlignment w:val="center"/>
              <w:rPr>
                <w:rFonts w:hint="eastAsia" w:ascii="宋体" w:hAnsi="宋体"/>
                <w:szCs w:val="21"/>
              </w:rPr>
            </w:pPr>
          </w:p>
        </w:tc>
        <w:tc>
          <w:tcPr>
            <w:tcW w:w="793" w:type="dxa"/>
          </w:tcPr>
          <w:p>
            <w:pPr>
              <w:textAlignment w:val="center"/>
              <w:rPr>
                <w:rFonts w:hint="eastAsia" w:ascii="宋体" w:hAnsi="宋体"/>
                <w:szCs w:val="21"/>
              </w:rPr>
            </w:pPr>
          </w:p>
        </w:tc>
      </w:tr>
    </w:tbl>
    <w:p>
      <w:pPr>
        <w:rPr>
          <w:rFonts w:hint="eastAsia"/>
          <w:lang w:eastAsia="zh-CN"/>
        </w:rPr>
      </w:pPr>
    </w:p>
    <w:p>
      <w:pPr>
        <w:rPr>
          <w:sz w:val="24"/>
        </w:rPr>
      </w:pPr>
    </w:p>
    <w:p>
      <w:pPr>
        <w:rPr>
          <w:sz w:val="24"/>
        </w:rPr>
      </w:pPr>
      <w:bookmarkStart w:id="71" w:name="_Hlk72095977"/>
      <w:r>
        <w:rPr>
          <w:rFonts w:hint="eastAsia"/>
          <w:sz w:val="24"/>
        </w:rPr>
        <w:t>证明资料【如有的话，提供的证明资料应统一编号（排序），格式自定】</w:t>
      </w:r>
      <w:bookmarkEnd w:id="71"/>
      <w:r>
        <w:rPr>
          <w:rFonts w:hint="eastAsia"/>
          <w:sz w:val="24"/>
        </w:rPr>
        <w:t>：</w:t>
      </w:r>
    </w:p>
    <w:p>
      <w:pPr>
        <w:ind w:firstLine="482" w:firstLineChars="200"/>
        <w:rPr>
          <w:b/>
          <w:sz w:val="24"/>
        </w:rPr>
      </w:pPr>
    </w:p>
    <w:p>
      <w:pPr>
        <w:ind w:firstLine="482" w:firstLineChars="200"/>
        <w:rPr>
          <w:b/>
          <w:sz w:val="24"/>
        </w:rPr>
      </w:pPr>
    </w:p>
    <w:p>
      <w:pPr>
        <w:ind w:firstLine="482" w:firstLineChars="200"/>
        <w:rPr>
          <w:b/>
          <w:sz w:val="24"/>
        </w:rPr>
      </w:pPr>
      <w:r>
        <w:rPr>
          <w:rFonts w:hint="eastAsia"/>
          <w:b/>
          <w:sz w:val="24"/>
        </w:rPr>
        <w:t>《技术要求偏离表》编制指引：</w:t>
      </w:r>
    </w:p>
    <w:p>
      <w:pPr>
        <w:ind w:firstLine="482" w:firstLineChars="200"/>
        <w:rPr>
          <w:b/>
          <w:sz w:val="24"/>
        </w:rPr>
      </w:pPr>
      <w:r>
        <w:rPr>
          <w:rFonts w:hint="eastAsia"/>
          <w:b/>
          <w:sz w:val="24"/>
        </w:rPr>
        <w:t>1、技术要求偏离表的序号、货物名称、招标技术要求等栏目</w:t>
      </w:r>
      <w:bookmarkStart w:id="72" w:name="_Hlk72094407"/>
      <w:r>
        <w:rPr>
          <w:rFonts w:hint="eastAsia"/>
          <w:b/>
          <w:sz w:val="24"/>
        </w:rPr>
        <w:t>对应“用户需求书”中的“技术要求”章节</w:t>
      </w:r>
      <w:bookmarkEnd w:id="72"/>
      <w:r>
        <w:rPr>
          <w:rFonts w:hint="eastAsia"/>
          <w:b/>
          <w:sz w:val="24"/>
        </w:rPr>
        <w:t>相关内容。</w:t>
      </w:r>
    </w:p>
    <w:p>
      <w:pPr>
        <w:ind w:firstLine="482" w:firstLineChars="200"/>
        <w:rPr>
          <w:b/>
          <w:sz w:val="24"/>
        </w:rPr>
      </w:pPr>
      <w:r>
        <w:rPr>
          <w:b/>
          <w:sz w:val="24"/>
        </w:rPr>
        <w:t>2</w:t>
      </w:r>
      <w:r>
        <w:rPr>
          <w:rFonts w:hint="eastAsia"/>
          <w:b/>
          <w:sz w:val="24"/>
        </w:rPr>
        <w:t>、</w:t>
      </w:r>
      <w:bookmarkStart w:id="73" w:name="_Hlk72158270"/>
      <w:r>
        <w:rPr>
          <w:rFonts w:hint="eastAsia"/>
          <w:b/>
          <w:sz w:val="24"/>
        </w:rPr>
        <w:t>“偏离情况”</w:t>
      </w:r>
      <w:bookmarkEnd w:id="73"/>
      <w:r>
        <w:rPr>
          <w:rFonts w:hint="eastAsia"/>
          <w:b/>
          <w:sz w:val="24"/>
        </w:rPr>
        <w:t>一栏填写如实填写“正偏离”、“负偏离”或“无偏离”，其中：</w:t>
      </w:r>
      <w:bookmarkStart w:id="74" w:name="_Hlk72093866"/>
      <w:r>
        <w:rPr>
          <w:rFonts w:hint="eastAsia"/>
          <w:b/>
          <w:sz w:val="24"/>
        </w:rPr>
        <w:t>“正偏离”表示“投标响应优于招标技术要求”，“负偏离”表示“投标响应不满足招标技术要求”，“无偏离”表示“投标响应与招标技术要求一致”</w:t>
      </w:r>
      <w:bookmarkEnd w:id="74"/>
      <w:r>
        <w:rPr>
          <w:rFonts w:hint="eastAsia"/>
          <w:b/>
          <w:sz w:val="24"/>
        </w:rPr>
        <w:t>。“投标技术响应”对比“招标技术要求”存在响应不全（包括未响应整项招标技术要求或者未响应一项招标技术要求的部分内容），均视为“负偏离”。</w:t>
      </w:r>
    </w:p>
    <w:p>
      <w:pPr>
        <w:ind w:firstLine="482" w:firstLineChars="200"/>
        <w:rPr>
          <w:b/>
          <w:sz w:val="24"/>
        </w:rPr>
      </w:pPr>
      <w:r>
        <w:rPr>
          <w:rFonts w:hint="eastAsia"/>
          <w:b/>
          <w:sz w:val="24"/>
          <w:lang w:val="en-US" w:eastAsia="zh-CN"/>
        </w:rPr>
        <w:t>3</w:t>
      </w:r>
      <w:r>
        <w:rPr>
          <w:rFonts w:hint="eastAsia"/>
          <w:b/>
          <w:sz w:val="24"/>
        </w:rPr>
        <w:t>、未要求提供证明资料的招标技术要求，可以不提供证明资料（如实响应即可）。</w:t>
      </w:r>
    </w:p>
    <w:p>
      <w:pPr>
        <w:ind w:firstLine="482" w:firstLineChars="200"/>
        <w:rPr>
          <w:b/>
          <w:sz w:val="24"/>
        </w:rPr>
      </w:pPr>
      <w:r>
        <w:rPr>
          <w:rFonts w:hint="eastAsia"/>
          <w:b/>
          <w:sz w:val="24"/>
          <w:lang w:val="en-US" w:eastAsia="zh-CN"/>
        </w:rPr>
        <w:t>4</w:t>
      </w:r>
      <w:r>
        <w:rPr>
          <w:rFonts w:hint="eastAsia"/>
          <w:b/>
          <w:sz w:val="24"/>
        </w:rPr>
        <w:t>、</w:t>
      </w:r>
      <w:bookmarkStart w:id="75" w:name="_Hlk72096106"/>
      <w:r>
        <w:rPr>
          <w:rFonts w:hint="eastAsia"/>
          <w:b/>
          <w:sz w:val="24"/>
        </w:rPr>
        <w:t>证明资料条款响应要求</w:t>
      </w:r>
      <w:bookmarkEnd w:id="75"/>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以便评审；</w:t>
      </w:r>
      <w:bookmarkStart w:id="76"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77" w:name="_Hlk73558164"/>
      <w:r>
        <w:rPr>
          <w:rFonts w:hint="eastAsia"/>
          <w:b/>
          <w:sz w:val="24"/>
        </w:rPr>
        <w:t>且投标人在“偏离情况”一栏响应为“正偏离”或“无偏离”的，经评审委员会认定，将判定为负偏离。</w:t>
      </w:r>
      <w:bookmarkEnd w:id="76"/>
      <w:bookmarkEnd w:id="77"/>
    </w:p>
    <w:p>
      <w:pPr>
        <w:ind w:firstLine="482" w:firstLineChars="200"/>
        <w:rPr>
          <w:b/>
          <w:sz w:val="24"/>
        </w:rPr>
      </w:pPr>
      <w:r>
        <w:rPr>
          <w:rFonts w:hint="eastAsia"/>
          <w:b/>
          <w:sz w:val="24"/>
          <w:lang w:val="en-US" w:eastAsia="zh-CN"/>
        </w:rPr>
        <w:t>5</w:t>
      </w:r>
      <w:r>
        <w:rPr>
          <w:rFonts w:hint="eastAsia"/>
          <w:b/>
          <w:sz w:val="24"/>
        </w:rPr>
        <w:t>、</w:t>
      </w:r>
      <w:bookmarkStart w:id="78" w:name="_Hlk72096137"/>
      <w:r>
        <w:rPr>
          <w:rFonts w:hint="eastAsia"/>
          <w:b/>
          <w:sz w:val="24"/>
        </w:rPr>
        <w:t>表后“证明资料”部分内容的编制</w:t>
      </w:r>
      <w:bookmarkEnd w:id="78"/>
      <w:r>
        <w:rPr>
          <w:rFonts w:hint="eastAsia"/>
          <w:b/>
          <w:sz w:val="24"/>
        </w:rPr>
        <w:t>：提供的所有证明资料应当统一编号（排序），且证明资料的编号（顺序）、数量和名称（形式）均应与“说明”一栏所填内容保持一致（一一对应），以便评审委员会查看。</w:t>
      </w:r>
      <w:bookmarkStart w:id="79" w:name="_Hlk73558180"/>
      <w:r>
        <w:rPr>
          <w:rFonts w:hint="eastAsia"/>
          <w:b/>
          <w:sz w:val="24"/>
        </w:rPr>
        <w:t>未按照招标文件要求在表后放置证明材料的供应商将承担不利后果，经评审委员会认定，相关技术要求将判定为负偏离。</w:t>
      </w:r>
      <w:bookmarkEnd w:id="79"/>
    </w:p>
    <w:p>
      <w:pPr>
        <w:ind w:firstLine="482" w:firstLineChars="200"/>
        <w:rPr>
          <w:b/>
          <w:sz w:val="24"/>
        </w:rPr>
      </w:pPr>
      <w:r>
        <w:rPr>
          <w:rFonts w:hint="eastAsia"/>
          <w:b/>
          <w:sz w:val="24"/>
          <w:lang w:val="en-US" w:eastAsia="zh-CN"/>
        </w:rPr>
        <w:t>6</w:t>
      </w:r>
      <w:r>
        <w:rPr>
          <w:rFonts w:hint="eastAsia"/>
          <w:b/>
          <w:sz w:val="24"/>
        </w:rPr>
        <w:t>、</w:t>
      </w:r>
      <w:bookmarkStart w:id="80" w:name="_Hlk72096176"/>
      <w:r>
        <w:rPr>
          <w:rFonts w:hint="eastAsia"/>
          <w:b/>
          <w:sz w:val="24"/>
        </w:rPr>
        <w:t>证明资料的形式及其它具体要求</w:t>
      </w:r>
      <w:bookmarkEnd w:id="80"/>
      <w:r>
        <w:rPr>
          <w:rFonts w:hint="eastAsia"/>
          <w:b/>
          <w:sz w:val="24"/>
        </w:rPr>
        <w:t>：</w:t>
      </w:r>
    </w:p>
    <w:p>
      <w:pPr>
        <w:ind w:firstLine="482" w:firstLineChars="200"/>
        <w:rPr>
          <w:b/>
          <w:sz w:val="24"/>
        </w:rPr>
      </w:pPr>
      <w:r>
        <w:rPr>
          <w:rFonts w:hint="eastAsia"/>
          <w:b/>
          <w:sz w:val="24"/>
        </w:rPr>
        <w:t>（1）除照片、图片（截图）及不需加盖公章的文字说明（技术说明）外，其它证明资料均要求为原件扫描件；</w:t>
      </w:r>
    </w:p>
    <w:p>
      <w:pPr>
        <w:ind w:firstLine="482" w:firstLineChars="200"/>
        <w:rPr>
          <w:b/>
          <w:sz w:val="24"/>
        </w:rPr>
      </w:pPr>
      <w:r>
        <w:rPr>
          <w:rFonts w:hint="eastAsia"/>
          <w:b/>
          <w:sz w:val="24"/>
        </w:rPr>
        <w:t>（2）提供证明资料的形式包括但不限于：a.制造商公布（出具）的产品说明书、产品彩页；b.我国政府机构出具的产品检验和核准证件等；c.第三方机构出具的检测（检验、测试）报告、认证证书等；已对证明资料的形式、内容作出具体要求的，必须严格按要求的形式、内容提供证明资料；</w:t>
      </w:r>
    </w:p>
    <w:p>
      <w:pPr>
        <w:ind w:firstLine="482" w:firstLineChars="200"/>
        <w:rPr>
          <w:b/>
          <w:sz w:val="24"/>
        </w:rPr>
      </w:pPr>
      <w:r>
        <w:rPr>
          <w:rFonts w:hint="eastAsia"/>
          <w:b/>
          <w:sz w:val="24"/>
        </w:rPr>
        <w:t>（3）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ind w:firstLine="482" w:firstLineChars="200"/>
        <w:rPr>
          <w:b/>
          <w:sz w:val="24"/>
        </w:rPr>
      </w:pPr>
      <w:r>
        <w:rPr>
          <w:rFonts w:hint="eastAsia"/>
          <w:b/>
          <w:sz w:val="24"/>
        </w:rPr>
        <w:t>我国政府机构出具的产品检验和核准证件应为证件正面、背面和附件标注的全部具体内容；产品检验和核准证件的尺寸和清晰度应该能够在电脑上被阅读、识别和判断；</w:t>
      </w:r>
    </w:p>
    <w:p>
      <w:pPr>
        <w:ind w:firstLine="482" w:firstLineChars="200"/>
        <w:rPr>
          <w:b/>
          <w:sz w:val="24"/>
        </w:rPr>
      </w:pPr>
      <w:r>
        <w:rPr>
          <w:rFonts w:hint="eastAsia"/>
          <w:b/>
          <w:sz w:val="24"/>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pPr>
        <w:ind w:firstLine="482" w:firstLineChars="200"/>
        <w:rPr>
          <w:b/>
          <w:sz w:val="24"/>
        </w:rPr>
      </w:pPr>
      <w:r>
        <w:rPr>
          <w:rFonts w:hint="eastAsia"/>
          <w:b/>
          <w:sz w:val="24"/>
        </w:rPr>
        <w:t>其它证明资料的形式要求参照以上要求执行；</w:t>
      </w:r>
    </w:p>
    <w:p>
      <w:pPr>
        <w:ind w:firstLine="482" w:firstLineChars="200"/>
        <w:rPr>
          <w:b/>
          <w:sz w:val="24"/>
        </w:rPr>
      </w:pPr>
      <w:r>
        <w:rPr>
          <w:rFonts w:hint="eastAsia"/>
          <w:b/>
          <w:sz w:val="24"/>
        </w:rPr>
        <w:t>（4）证明资料均要求原件备查。</w:t>
      </w:r>
    </w:p>
    <w:p>
      <w:pPr>
        <w:ind w:firstLine="482" w:firstLineChars="200"/>
        <w:rPr>
          <w:b/>
          <w:sz w:val="24"/>
        </w:rPr>
      </w:pPr>
      <w:r>
        <w:rPr>
          <w:rFonts w:hint="eastAsia"/>
          <w:b/>
          <w:sz w:val="24"/>
          <w:lang w:val="en-US" w:eastAsia="zh-CN"/>
        </w:rPr>
        <w:t>7</w:t>
      </w:r>
      <w:r>
        <w:rPr>
          <w:rFonts w:hint="eastAsia"/>
          <w:b/>
          <w:sz w:val="24"/>
        </w:rPr>
        <w:t>、其它注意事项：</w:t>
      </w:r>
    </w:p>
    <w:p>
      <w:pPr>
        <w:ind w:firstLine="482" w:firstLineChars="200"/>
        <w:rPr>
          <w:b/>
          <w:sz w:val="24"/>
        </w:rPr>
      </w:pPr>
      <w:r>
        <w:rPr>
          <w:rFonts w:hint="eastAsia"/>
          <w:b/>
          <w:sz w:val="24"/>
        </w:rPr>
        <w:t>（1）评审委员会有权对投标人的响应情况作出判断（评审结论）；</w:t>
      </w:r>
    </w:p>
    <w:p>
      <w:pPr>
        <w:ind w:firstLine="482" w:firstLineChars="200"/>
        <w:rPr>
          <w:b/>
          <w:sz w:val="24"/>
        </w:rPr>
      </w:pPr>
      <w:r>
        <w:rPr>
          <w:rFonts w:hint="eastAsia"/>
          <w:b/>
          <w:sz w:val="24"/>
        </w:rPr>
        <w:t>（2）</w:t>
      </w:r>
      <w:bookmarkStart w:id="81" w:name="_Hlk72158213"/>
      <w:r>
        <w:rPr>
          <w:rFonts w:hint="eastAsia"/>
          <w:b/>
          <w:sz w:val="24"/>
        </w:rPr>
        <w:t>评审委员会有权对以谋取中标为目的的技术规格模糊响应（如有意不合理照搬照抄招标文件的技术要求）或虚假响应予以认定，并视情况经政府集中采购机构报主管部门进行处理。</w:t>
      </w:r>
      <w:bookmarkEnd w:id="81"/>
    </w:p>
    <w:p>
      <w:pPr>
        <w:ind w:firstLine="482" w:firstLineChars="200"/>
        <w:rPr>
          <w:b/>
          <w:sz w:val="24"/>
        </w:rPr>
      </w:pPr>
    </w:p>
    <w:p>
      <w:pPr>
        <w:rPr>
          <w:sz w:val="24"/>
        </w:rPr>
      </w:pPr>
    </w:p>
    <w:p>
      <w:pPr>
        <w:pStyle w:val="4"/>
        <w:jc w:val="center"/>
        <w:rPr>
          <w:sz w:val="24"/>
        </w:rPr>
      </w:pPr>
      <w:r>
        <w:rPr>
          <w:rFonts w:hint="eastAsia" w:ascii="黑体" w:eastAsia="黑体"/>
          <w:b w:val="0"/>
          <w:bCs w:val="0"/>
          <w:sz w:val="24"/>
          <w:szCs w:val="20"/>
        </w:rPr>
        <w:t>五、商务要求偏离表</w:t>
      </w:r>
    </w:p>
    <w:tbl>
      <w:tblPr>
        <w:tblStyle w:val="4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673"/>
        <w:gridCol w:w="4404"/>
        <w:gridCol w:w="1608"/>
        <w:gridCol w:w="132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673" w:type="dxa"/>
            <w:vAlign w:val="center"/>
          </w:tcPr>
          <w:p>
            <w:pPr>
              <w:jc w:val="center"/>
              <w:rPr>
                <w:rFonts w:ascii="宋体" w:hAnsi="宋体"/>
                <w:b/>
                <w:szCs w:val="21"/>
              </w:rPr>
            </w:pPr>
            <w:r>
              <w:rPr>
                <w:rFonts w:hint="eastAsia" w:ascii="宋体" w:hAnsi="宋体"/>
                <w:b/>
                <w:szCs w:val="21"/>
              </w:rPr>
              <w:t>目录</w:t>
            </w:r>
          </w:p>
        </w:tc>
        <w:tc>
          <w:tcPr>
            <w:tcW w:w="4404" w:type="dxa"/>
            <w:vAlign w:val="center"/>
          </w:tcPr>
          <w:p>
            <w:pPr>
              <w:jc w:val="center"/>
              <w:rPr>
                <w:rFonts w:ascii="宋体" w:hAnsi="宋体"/>
                <w:b/>
                <w:szCs w:val="21"/>
              </w:rPr>
            </w:pPr>
            <w:r>
              <w:rPr>
                <w:rFonts w:hint="eastAsia"/>
                <w:b/>
                <w:szCs w:val="21"/>
              </w:rPr>
              <w:t>招标商务条款</w:t>
            </w:r>
          </w:p>
        </w:tc>
        <w:tc>
          <w:tcPr>
            <w:tcW w:w="1608" w:type="dxa"/>
            <w:vAlign w:val="center"/>
          </w:tcPr>
          <w:p>
            <w:pPr>
              <w:jc w:val="center"/>
              <w:rPr>
                <w:rFonts w:ascii="宋体" w:hAnsi="宋体"/>
                <w:b/>
                <w:szCs w:val="21"/>
              </w:rPr>
            </w:pPr>
            <w:r>
              <w:rPr>
                <w:rFonts w:hint="eastAsia"/>
                <w:b/>
                <w:szCs w:val="21"/>
              </w:rPr>
              <w:t>投标商务条款</w:t>
            </w:r>
          </w:p>
        </w:tc>
        <w:tc>
          <w:tcPr>
            <w:tcW w:w="1320" w:type="dxa"/>
            <w:vAlign w:val="center"/>
          </w:tcPr>
          <w:p>
            <w:pPr>
              <w:jc w:val="center"/>
              <w:rPr>
                <w:rFonts w:ascii="宋体" w:hAnsi="宋体"/>
                <w:b/>
                <w:szCs w:val="21"/>
              </w:rPr>
            </w:pPr>
            <w:r>
              <w:rPr>
                <w:rFonts w:hint="eastAsia"/>
                <w:b/>
                <w:szCs w:val="21"/>
              </w:rPr>
              <w:t>偏离情况</w:t>
            </w:r>
          </w:p>
        </w:tc>
        <w:tc>
          <w:tcPr>
            <w:tcW w:w="925" w:type="dxa"/>
            <w:vAlign w:val="center"/>
          </w:tcPr>
          <w:p>
            <w:pPr>
              <w:jc w:val="center"/>
              <w:rPr>
                <w:rFonts w:ascii="宋体" w:hAnsi="宋体"/>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6"/>
            <w:vAlign w:val="center"/>
          </w:tcPr>
          <w:p>
            <w:pPr>
              <w:rPr>
                <w:rFonts w:ascii="宋体" w:hAnsi="宋体"/>
                <w:b/>
                <w:szCs w:val="21"/>
              </w:rPr>
            </w:pPr>
            <w:r>
              <w:rPr>
                <w:rFonts w:hint="eastAsia" w:ascii="宋体" w:hAnsi="宋体"/>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08" w:type="dxa"/>
            <w:vMerge w:val="restart"/>
            <w:vAlign w:val="center"/>
          </w:tcPr>
          <w:p>
            <w:pPr>
              <w:spacing w:line="300" w:lineRule="exact"/>
              <w:jc w:val="center"/>
              <w:rPr>
                <w:rFonts w:ascii="宋体" w:hAnsi="宋体"/>
                <w:b/>
                <w:szCs w:val="21"/>
              </w:rPr>
            </w:pPr>
            <w:r>
              <w:rPr>
                <w:rFonts w:ascii="宋体" w:hAnsi="宋体"/>
                <w:b/>
                <w:szCs w:val="21"/>
              </w:rPr>
              <w:t>1</w:t>
            </w:r>
          </w:p>
        </w:tc>
        <w:tc>
          <w:tcPr>
            <w:tcW w:w="673" w:type="dxa"/>
            <w:vMerge w:val="restart"/>
            <w:vAlign w:val="center"/>
          </w:tcPr>
          <w:p>
            <w:pPr>
              <w:spacing w:line="300" w:lineRule="exact"/>
              <w:jc w:val="center"/>
              <w:rPr>
                <w:rFonts w:ascii="宋体" w:hAnsi="宋体"/>
                <w:szCs w:val="21"/>
              </w:rPr>
            </w:pPr>
            <w:r>
              <w:rPr>
                <w:rFonts w:hint="eastAsia" w:ascii="宋体" w:hAnsi="宋体"/>
                <w:b/>
                <w:kern w:val="0"/>
                <w:szCs w:val="21"/>
              </w:rPr>
              <w:t>维修及维护服务</w:t>
            </w:r>
          </w:p>
        </w:tc>
        <w:tc>
          <w:tcPr>
            <w:tcW w:w="4404" w:type="dxa"/>
            <w:vAlign w:val="top"/>
          </w:tcPr>
          <w:p>
            <w:pPr>
              <w:spacing w:line="320" w:lineRule="exact"/>
              <w:rPr>
                <w:rFonts w:ascii="宋体" w:hAnsi="宋体"/>
                <w:b/>
                <w:szCs w:val="21"/>
              </w:rPr>
            </w:pPr>
            <w:r>
              <w:rPr>
                <w:rFonts w:ascii="宋体" w:hAnsi="宋体"/>
                <w:kern w:val="0"/>
                <w:szCs w:val="21"/>
              </w:rPr>
              <w:t>1.2</w:t>
            </w:r>
            <w:r>
              <w:rPr>
                <w:rFonts w:hint="eastAsia" w:ascii="宋体" w:hAnsi="宋体"/>
                <w:kern w:val="0"/>
                <w:szCs w:val="21"/>
              </w:rPr>
              <w:t>由生产厂家提供售后服务，</w:t>
            </w:r>
            <w:r>
              <w:rPr>
                <w:rFonts w:hint="eastAsia" w:ascii="宋体" w:hAnsi="宋体"/>
                <w:kern w:val="0"/>
                <w:szCs w:val="21"/>
                <w:u w:val="single"/>
              </w:rPr>
              <w:t xml:space="preserve">  2  </w:t>
            </w:r>
            <w:r>
              <w:rPr>
                <w:rFonts w:hint="eastAsia" w:ascii="宋体" w:hAnsi="宋体"/>
                <w:kern w:val="0"/>
                <w:szCs w:val="21"/>
              </w:rPr>
              <w:t>小时内响应，</w:t>
            </w:r>
            <w:r>
              <w:rPr>
                <w:rFonts w:hint="eastAsia" w:ascii="宋体" w:hAnsi="宋体"/>
                <w:kern w:val="0"/>
                <w:szCs w:val="21"/>
                <w:u w:val="single"/>
              </w:rPr>
              <w:t xml:space="preserve">  24  </w:t>
            </w:r>
            <w:r>
              <w:rPr>
                <w:rFonts w:hint="eastAsia" w:ascii="宋体" w:hAnsi="宋体"/>
                <w:kern w:val="0"/>
                <w:szCs w:val="21"/>
              </w:rPr>
              <w:t>小时维修到位。消耗品和零配件供应及时，特殊情况下可提供备用机。</w:t>
            </w:r>
          </w:p>
        </w:tc>
        <w:tc>
          <w:tcPr>
            <w:tcW w:w="1608" w:type="dxa"/>
          </w:tcPr>
          <w:p>
            <w:pPr>
              <w:spacing w:line="320" w:lineRule="exact"/>
              <w:rPr>
                <w:rFonts w:ascii="宋体" w:hAnsi="宋体" w:cs="宋体"/>
                <w:bCs/>
                <w:szCs w:val="21"/>
              </w:rPr>
            </w:pPr>
          </w:p>
        </w:tc>
        <w:tc>
          <w:tcPr>
            <w:tcW w:w="1320" w:type="dxa"/>
          </w:tcPr>
          <w:p>
            <w:pPr>
              <w:spacing w:line="320" w:lineRule="exact"/>
              <w:rPr>
                <w:rFonts w:ascii="宋体" w:hAnsi="宋体" w:cs="宋体"/>
                <w:bCs/>
                <w:szCs w:val="21"/>
              </w:rPr>
            </w:pPr>
          </w:p>
        </w:tc>
        <w:tc>
          <w:tcPr>
            <w:tcW w:w="925" w:type="dxa"/>
          </w:tcPr>
          <w:p>
            <w:pPr>
              <w:spacing w:line="320" w:lineRule="exac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rPr>
                <w:rFonts w:ascii="宋体" w:hAnsi="宋体"/>
                <w:b/>
                <w:kern w:val="0"/>
                <w:szCs w:val="21"/>
              </w:rPr>
            </w:pPr>
          </w:p>
        </w:tc>
        <w:tc>
          <w:tcPr>
            <w:tcW w:w="4404" w:type="dxa"/>
            <w:vAlign w:val="top"/>
          </w:tcPr>
          <w:p>
            <w:pPr>
              <w:spacing w:line="320" w:lineRule="exact"/>
              <w:rPr>
                <w:rFonts w:ascii="宋体" w:hAnsi="宋体"/>
                <w:bCs/>
                <w:szCs w:val="21"/>
              </w:rPr>
            </w:pPr>
            <w:r>
              <w:rPr>
                <w:rFonts w:hint="eastAsia" w:ascii="宋体" w:hAnsi="宋体"/>
                <w:kern w:val="0"/>
                <w:szCs w:val="21"/>
              </w:rPr>
              <w:t>1.3保修期内，生产厂家每年最少提供</w:t>
            </w:r>
            <w:r>
              <w:rPr>
                <w:rFonts w:hint="eastAsia" w:ascii="宋体" w:hAnsi="宋体"/>
                <w:bCs/>
                <w:kern w:val="0"/>
                <w:szCs w:val="21"/>
                <w:u w:val="single"/>
              </w:rPr>
              <w:t xml:space="preserve">  4  </w:t>
            </w:r>
            <w:r>
              <w:rPr>
                <w:rFonts w:hint="eastAsia" w:ascii="宋体" w:hAnsi="宋体"/>
                <w:kern w:val="0"/>
                <w:szCs w:val="21"/>
              </w:rPr>
              <w:t>次免费保养，执行QA，按照厂家标准进行调校，以及对数据库或软件等进行清理和备份，确认各项技术指标及性能，保养中需更换的损耗品由生产厂家免费提供。</w:t>
            </w:r>
          </w:p>
        </w:tc>
        <w:tc>
          <w:tcPr>
            <w:tcW w:w="1608" w:type="dxa"/>
          </w:tcPr>
          <w:p>
            <w:pPr>
              <w:spacing w:line="320" w:lineRule="exact"/>
              <w:rPr>
                <w:rFonts w:ascii="宋体" w:hAnsi="宋体"/>
                <w:kern w:val="0"/>
                <w:szCs w:val="21"/>
              </w:rPr>
            </w:pPr>
          </w:p>
        </w:tc>
        <w:tc>
          <w:tcPr>
            <w:tcW w:w="1320" w:type="dxa"/>
          </w:tcPr>
          <w:p>
            <w:pPr>
              <w:spacing w:line="320" w:lineRule="exact"/>
              <w:rPr>
                <w:rFonts w:ascii="宋体" w:hAnsi="宋体"/>
                <w:kern w:val="0"/>
                <w:szCs w:val="21"/>
              </w:rPr>
            </w:pPr>
          </w:p>
        </w:tc>
        <w:tc>
          <w:tcPr>
            <w:tcW w:w="925" w:type="dxa"/>
          </w:tcPr>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rPr>
                <w:rFonts w:ascii="宋体" w:hAnsi="宋体"/>
                <w:b/>
                <w:kern w:val="0"/>
                <w:szCs w:val="21"/>
              </w:rPr>
            </w:pPr>
          </w:p>
        </w:tc>
        <w:tc>
          <w:tcPr>
            <w:tcW w:w="4404" w:type="dxa"/>
            <w:vAlign w:val="top"/>
          </w:tcPr>
          <w:p>
            <w:pPr>
              <w:spacing w:line="320" w:lineRule="exact"/>
              <w:rPr>
                <w:rFonts w:ascii="宋体" w:hAnsi="宋体"/>
                <w:kern w:val="0"/>
                <w:szCs w:val="21"/>
              </w:rPr>
            </w:pPr>
            <w:r>
              <w:rPr>
                <w:rFonts w:hint="eastAsia" w:ascii="宋体" w:hAnsi="宋体"/>
                <w:kern w:val="0"/>
                <w:szCs w:val="21"/>
              </w:rPr>
              <w:t>1.4保修期内，设备主机及配件免费维修、免费更换、免工时费。</w:t>
            </w:r>
          </w:p>
        </w:tc>
        <w:tc>
          <w:tcPr>
            <w:tcW w:w="1608" w:type="dxa"/>
          </w:tcPr>
          <w:p>
            <w:pPr>
              <w:spacing w:line="320" w:lineRule="exact"/>
              <w:rPr>
                <w:rFonts w:ascii="宋体" w:hAnsi="宋体"/>
                <w:kern w:val="0"/>
                <w:szCs w:val="21"/>
              </w:rPr>
            </w:pPr>
          </w:p>
        </w:tc>
        <w:tc>
          <w:tcPr>
            <w:tcW w:w="1320" w:type="dxa"/>
          </w:tcPr>
          <w:p>
            <w:pPr>
              <w:spacing w:line="320" w:lineRule="exact"/>
              <w:rPr>
                <w:rFonts w:ascii="宋体" w:hAnsi="宋体"/>
                <w:kern w:val="0"/>
                <w:szCs w:val="21"/>
              </w:rPr>
            </w:pPr>
          </w:p>
        </w:tc>
        <w:tc>
          <w:tcPr>
            <w:tcW w:w="925" w:type="dxa"/>
          </w:tcPr>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rPr>
                <w:rFonts w:ascii="宋体" w:hAnsi="宋体"/>
                <w:b/>
                <w:kern w:val="0"/>
                <w:szCs w:val="21"/>
              </w:rPr>
            </w:pPr>
          </w:p>
        </w:tc>
        <w:tc>
          <w:tcPr>
            <w:tcW w:w="4404" w:type="dxa"/>
            <w:vAlign w:val="top"/>
          </w:tcPr>
          <w:p>
            <w:pPr>
              <w:spacing w:line="320" w:lineRule="exact"/>
              <w:rPr>
                <w:rFonts w:ascii="宋体" w:hAnsi="宋体"/>
                <w:bCs/>
                <w:szCs w:val="21"/>
              </w:rPr>
            </w:pPr>
            <w:r>
              <w:rPr>
                <w:rFonts w:hint="eastAsia" w:ascii="宋体" w:hAnsi="宋体"/>
                <w:bCs/>
                <w:kern w:val="0"/>
                <w:szCs w:val="21"/>
              </w:rPr>
              <w:t>1.5保修期内，含软件设备由</w:t>
            </w:r>
            <w:r>
              <w:rPr>
                <w:rFonts w:hint="eastAsia" w:ascii="宋体" w:hAnsi="宋体"/>
                <w:kern w:val="0"/>
                <w:szCs w:val="21"/>
              </w:rPr>
              <w:t>投标人提供软件终身免费升级服务，</w:t>
            </w:r>
            <w:r>
              <w:rPr>
                <w:rFonts w:hint="eastAsia" w:ascii="宋体" w:hAnsi="宋体"/>
                <w:bCs/>
                <w:kern w:val="0"/>
                <w:szCs w:val="21"/>
              </w:rPr>
              <w:t>并提供该设备与医院所有信息系统数据接口免费对接服务，次数不限，且符合医院信息安全管理要求。</w:t>
            </w:r>
          </w:p>
        </w:tc>
        <w:tc>
          <w:tcPr>
            <w:tcW w:w="1608" w:type="dxa"/>
          </w:tcPr>
          <w:p>
            <w:pPr>
              <w:spacing w:line="320" w:lineRule="exact"/>
              <w:rPr>
                <w:rFonts w:ascii="宋体" w:hAnsi="宋体"/>
                <w:kern w:val="0"/>
                <w:szCs w:val="21"/>
              </w:rPr>
            </w:pPr>
          </w:p>
        </w:tc>
        <w:tc>
          <w:tcPr>
            <w:tcW w:w="1320" w:type="dxa"/>
          </w:tcPr>
          <w:p>
            <w:pPr>
              <w:spacing w:line="320" w:lineRule="exact"/>
              <w:rPr>
                <w:rFonts w:ascii="宋体" w:hAnsi="宋体"/>
                <w:kern w:val="0"/>
                <w:szCs w:val="21"/>
              </w:rPr>
            </w:pPr>
          </w:p>
        </w:tc>
        <w:tc>
          <w:tcPr>
            <w:tcW w:w="925" w:type="dxa"/>
          </w:tcPr>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08" w:type="dxa"/>
            <w:vAlign w:val="center"/>
          </w:tcPr>
          <w:p>
            <w:pPr>
              <w:spacing w:line="300" w:lineRule="exact"/>
              <w:jc w:val="center"/>
              <w:rPr>
                <w:rFonts w:ascii="宋体" w:hAnsi="宋体"/>
                <w:b/>
                <w:szCs w:val="21"/>
              </w:rPr>
            </w:pPr>
            <w:r>
              <w:rPr>
                <w:rFonts w:ascii="宋体" w:hAnsi="宋体"/>
                <w:b/>
                <w:szCs w:val="21"/>
              </w:rPr>
              <w:t>2</w:t>
            </w:r>
          </w:p>
        </w:tc>
        <w:tc>
          <w:tcPr>
            <w:tcW w:w="673" w:type="dxa"/>
            <w:vAlign w:val="center"/>
          </w:tcPr>
          <w:p>
            <w:pPr>
              <w:spacing w:line="300" w:lineRule="exact"/>
              <w:jc w:val="center"/>
              <w:rPr>
                <w:rFonts w:ascii="宋体" w:hAnsi="宋体"/>
                <w:szCs w:val="21"/>
              </w:rPr>
            </w:pPr>
            <w:r>
              <w:rPr>
                <w:rFonts w:hint="eastAsia" w:ascii="宋体" w:hAnsi="宋体"/>
                <w:b/>
                <w:kern w:val="0"/>
                <w:szCs w:val="21"/>
              </w:rPr>
              <w:t>质量保证</w:t>
            </w:r>
          </w:p>
        </w:tc>
        <w:tc>
          <w:tcPr>
            <w:tcW w:w="4404" w:type="dxa"/>
            <w:vAlign w:val="top"/>
          </w:tcPr>
          <w:p>
            <w:pPr>
              <w:spacing w:line="320" w:lineRule="exact"/>
              <w:rPr>
                <w:rFonts w:ascii="宋体" w:hAnsi="宋体"/>
                <w:kern w:val="0"/>
                <w:szCs w:val="21"/>
              </w:rPr>
            </w:pPr>
            <w:r>
              <w:rPr>
                <w:rFonts w:hint="eastAsia" w:ascii="宋体" w:hAnsi="宋体"/>
                <w:kern w:val="0"/>
                <w:szCs w:val="21"/>
              </w:rPr>
              <w:t>2.1在保修期内，投标人保证设备的年开机率＞95%；若不能达到此开机率，将作以下处理：（1）开机率在90%～95%之间按一赔二延长保修期；（2）开机率在85%～90%之间按一赔五延长保修期；（3）开机率低于85%，供应商应无条件更换新机，并重新计算保修期，以及赔偿用户的直接经济损失和间接经济损失。注：年开机率=(365-停机天数)/365。</w:t>
            </w:r>
          </w:p>
        </w:tc>
        <w:tc>
          <w:tcPr>
            <w:tcW w:w="1608" w:type="dxa"/>
          </w:tcPr>
          <w:p>
            <w:pPr>
              <w:spacing w:line="320" w:lineRule="exact"/>
              <w:rPr>
                <w:rFonts w:ascii="宋体" w:hAnsi="宋体"/>
                <w:kern w:val="0"/>
                <w:szCs w:val="21"/>
              </w:rPr>
            </w:pPr>
          </w:p>
        </w:tc>
        <w:tc>
          <w:tcPr>
            <w:tcW w:w="1320" w:type="dxa"/>
          </w:tcPr>
          <w:p>
            <w:pPr>
              <w:spacing w:line="320" w:lineRule="exact"/>
              <w:rPr>
                <w:rFonts w:ascii="宋体" w:hAnsi="宋体"/>
                <w:kern w:val="0"/>
                <w:szCs w:val="21"/>
              </w:rPr>
            </w:pPr>
          </w:p>
        </w:tc>
        <w:tc>
          <w:tcPr>
            <w:tcW w:w="925" w:type="dxa"/>
          </w:tcPr>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6"/>
            <w:vAlign w:val="center"/>
          </w:tcPr>
          <w:p>
            <w:pPr>
              <w:spacing w:line="300" w:lineRule="exact"/>
              <w:rPr>
                <w:rFonts w:ascii="宋体" w:hAnsi="宋体"/>
                <w:b/>
                <w:szCs w:val="21"/>
              </w:rPr>
            </w:pPr>
            <w:r>
              <w:rPr>
                <w:rFonts w:hint="eastAsia" w:ascii="宋体" w:hAnsi="宋体"/>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08" w:type="dxa"/>
            <w:vMerge w:val="restart"/>
            <w:vAlign w:val="center"/>
          </w:tcPr>
          <w:p>
            <w:pPr>
              <w:spacing w:line="300" w:lineRule="exact"/>
              <w:jc w:val="center"/>
              <w:rPr>
                <w:rFonts w:ascii="宋体" w:hAnsi="宋体"/>
                <w:b/>
                <w:szCs w:val="21"/>
              </w:rPr>
            </w:pPr>
            <w:r>
              <w:rPr>
                <w:rFonts w:ascii="宋体" w:hAnsi="宋体"/>
                <w:b/>
                <w:szCs w:val="21"/>
              </w:rPr>
              <w:t>1</w:t>
            </w:r>
          </w:p>
        </w:tc>
        <w:tc>
          <w:tcPr>
            <w:tcW w:w="673" w:type="dxa"/>
            <w:vMerge w:val="restart"/>
            <w:vAlign w:val="center"/>
          </w:tcPr>
          <w:p>
            <w:pPr>
              <w:spacing w:line="300" w:lineRule="exact"/>
              <w:jc w:val="center"/>
              <w:rPr>
                <w:rFonts w:ascii="宋体" w:hAnsi="宋体"/>
                <w:b/>
                <w:szCs w:val="21"/>
              </w:rPr>
            </w:pPr>
            <w:r>
              <w:rPr>
                <w:rFonts w:hint="eastAsia" w:ascii="宋体" w:hAnsi="宋体"/>
                <w:b/>
                <w:kern w:val="0"/>
                <w:szCs w:val="21"/>
              </w:rPr>
              <w:t>维修服务和优惠价格</w:t>
            </w:r>
          </w:p>
        </w:tc>
        <w:tc>
          <w:tcPr>
            <w:tcW w:w="4404" w:type="dxa"/>
            <w:vAlign w:val="top"/>
          </w:tcPr>
          <w:p>
            <w:pPr>
              <w:spacing w:line="320" w:lineRule="exact"/>
              <w:rPr>
                <w:rFonts w:ascii="宋体" w:hAnsi="宋体"/>
                <w:kern w:val="0"/>
                <w:szCs w:val="21"/>
              </w:rPr>
            </w:pPr>
            <w:r>
              <w:rPr>
                <w:rFonts w:hint="eastAsia"/>
              </w:rPr>
              <w:t>1.1由生产厂家提供售后服务，</w:t>
            </w:r>
            <w:r>
              <w:rPr>
                <w:rFonts w:hint="eastAsia" w:ascii="宋体" w:hAnsi="宋体"/>
                <w:kern w:val="0"/>
                <w:szCs w:val="21"/>
                <w:u w:val="single"/>
              </w:rPr>
              <w:t xml:space="preserve">  2  </w:t>
            </w:r>
            <w:r>
              <w:rPr>
                <w:rFonts w:hint="eastAsia" w:ascii="宋体" w:hAnsi="宋体"/>
                <w:kern w:val="0"/>
                <w:szCs w:val="21"/>
              </w:rPr>
              <w:t>小时内响应，</w:t>
            </w:r>
            <w:r>
              <w:rPr>
                <w:rFonts w:hint="eastAsia" w:ascii="宋体" w:hAnsi="宋体"/>
                <w:kern w:val="0"/>
                <w:szCs w:val="21"/>
                <w:u w:val="single"/>
              </w:rPr>
              <w:t xml:space="preserve">  24  </w:t>
            </w:r>
            <w:r>
              <w:rPr>
                <w:rFonts w:hint="eastAsia" w:ascii="宋体" w:hAnsi="宋体"/>
                <w:kern w:val="0"/>
                <w:szCs w:val="21"/>
              </w:rPr>
              <w:t>小时维修到位。消耗品和零配件供应及时，特殊情况下可提供备用机。</w:t>
            </w:r>
          </w:p>
        </w:tc>
        <w:tc>
          <w:tcPr>
            <w:tcW w:w="1608" w:type="dxa"/>
          </w:tcPr>
          <w:p>
            <w:pPr>
              <w:spacing w:line="320" w:lineRule="exact"/>
            </w:pPr>
          </w:p>
        </w:tc>
        <w:tc>
          <w:tcPr>
            <w:tcW w:w="1320" w:type="dxa"/>
          </w:tcPr>
          <w:p>
            <w:pPr>
              <w:spacing w:line="320" w:lineRule="exact"/>
            </w:pPr>
          </w:p>
        </w:tc>
        <w:tc>
          <w:tcPr>
            <w:tcW w:w="925" w:type="dxa"/>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jc w:val="center"/>
              <w:rPr>
                <w:rFonts w:ascii="宋体" w:hAnsi="宋体"/>
                <w:b/>
                <w:kern w:val="0"/>
                <w:szCs w:val="21"/>
              </w:rPr>
            </w:pPr>
          </w:p>
        </w:tc>
        <w:tc>
          <w:tcPr>
            <w:tcW w:w="4404" w:type="dxa"/>
            <w:vAlign w:val="top"/>
          </w:tcPr>
          <w:p>
            <w:pPr>
              <w:spacing w:line="320" w:lineRule="exact"/>
            </w:pPr>
            <w:r>
              <w:rPr>
                <w:rFonts w:hint="eastAsia"/>
              </w:rPr>
              <w:t>1.2</w:t>
            </w:r>
            <w:r>
              <w:rPr>
                <w:rFonts w:hint="eastAsia" w:ascii="宋体" w:hAnsi="宋体"/>
                <w:szCs w:val="21"/>
              </w:rPr>
              <w:t>终身维修，保修期满后，生产厂家对用户进行的售后服务只收更换部件的成本费，提供</w:t>
            </w:r>
            <w:r>
              <w:rPr>
                <w:rFonts w:hint="eastAsia" w:ascii="宋体" w:hAnsi="宋体"/>
                <w:kern w:val="0"/>
                <w:szCs w:val="21"/>
              </w:rPr>
              <w:t>维修零配件、消耗品</w:t>
            </w:r>
            <w:r>
              <w:rPr>
                <w:rFonts w:hint="eastAsia" w:ascii="宋体" w:hAnsi="宋体"/>
                <w:szCs w:val="21"/>
              </w:rPr>
              <w:t>优惠价格。</w:t>
            </w:r>
          </w:p>
        </w:tc>
        <w:tc>
          <w:tcPr>
            <w:tcW w:w="1608" w:type="dxa"/>
          </w:tcPr>
          <w:p>
            <w:pPr>
              <w:spacing w:line="320" w:lineRule="exact"/>
            </w:pPr>
          </w:p>
        </w:tc>
        <w:tc>
          <w:tcPr>
            <w:tcW w:w="1320" w:type="dxa"/>
          </w:tcPr>
          <w:p>
            <w:pPr>
              <w:spacing w:line="320" w:lineRule="exact"/>
            </w:pPr>
          </w:p>
        </w:tc>
        <w:tc>
          <w:tcPr>
            <w:tcW w:w="925" w:type="dxa"/>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jc w:val="center"/>
              <w:rPr>
                <w:rFonts w:ascii="宋体" w:hAnsi="宋体"/>
                <w:b/>
                <w:kern w:val="0"/>
                <w:szCs w:val="21"/>
              </w:rPr>
            </w:pPr>
          </w:p>
        </w:tc>
        <w:tc>
          <w:tcPr>
            <w:tcW w:w="4404" w:type="dxa"/>
            <w:vAlign w:val="top"/>
          </w:tcPr>
          <w:p>
            <w:pPr>
              <w:spacing w:line="320" w:lineRule="exact"/>
            </w:pPr>
            <w:r>
              <w:rPr>
                <w:rFonts w:hint="eastAsia"/>
              </w:rPr>
              <w:t>1.3采购人可与投标人就优惠价进行谈判，但优惠价不得高于投标人在投标文件中承诺的</w:t>
            </w:r>
            <w:r>
              <w:rPr>
                <w:rFonts w:hint="eastAsia" w:ascii="宋体" w:hAnsi="宋体"/>
                <w:kern w:val="0"/>
                <w:szCs w:val="21"/>
              </w:rPr>
              <w:t>消耗品、零配件</w:t>
            </w:r>
            <w:r>
              <w:rPr>
                <w:rFonts w:hint="eastAsia"/>
              </w:rPr>
              <w:t>报价。</w:t>
            </w:r>
          </w:p>
        </w:tc>
        <w:tc>
          <w:tcPr>
            <w:tcW w:w="1608" w:type="dxa"/>
          </w:tcPr>
          <w:p>
            <w:pPr>
              <w:spacing w:line="320" w:lineRule="exact"/>
            </w:pPr>
          </w:p>
        </w:tc>
        <w:tc>
          <w:tcPr>
            <w:tcW w:w="1320" w:type="dxa"/>
          </w:tcPr>
          <w:p>
            <w:pPr>
              <w:spacing w:line="320" w:lineRule="exact"/>
            </w:pPr>
          </w:p>
        </w:tc>
        <w:tc>
          <w:tcPr>
            <w:tcW w:w="925" w:type="dxa"/>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jc w:val="center"/>
              <w:rPr>
                <w:rFonts w:ascii="宋体" w:hAnsi="宋体"/>
                <w:b/>
                <w:kern w:val="0"/>
                <w:szCs w:val="21"/>
              </w:rPr>
            </w:pPr>
          </w:p>
        </w:tc>
        <w:tc>
          <w:tcPr>
            <w:tcW w:w="4404" w:type="dxa"/>
            <w:vAlign w:val="top"/>
          </w:tcPr>
          <w:p>
            <w:pPr>
              <w:spacing w:line="320" w:lineRule="exact"/>
            </w:pPr>
            <w:r>
              <w:rPr>
                <w:rFonts w:hint="eastAsia"/>
              </w:rPr>
              <w:t>1.4生产厂家维修的货物经采购人验收合格，且厂家提供维修专用发票后，采购人支付维修费用。</w:t>
            </w:r>
          </w:p>
        </w:tc>
        <w:tc>
          <w:tcPr>
            <w:tcW w:w="1608" w:type="dxa"/>
          </w:tcPr>
          <w:p>
            <w:pPr>
              <w:spacing w:line="320" w:lineRule="exact"/>
            </w:pPr>
          </w:p>
        </w:tc>
        <w:tc>
          <w:tcPr>
            <w:tcW w:w="1320" w:type="dxa"/>
          </w:tcPr>
          <w:p>
            <w:pPr>
              <w:spacing w:line="320" w:lineRule="exact"/>
            </w:pPr>
          </w:p>
        </w:tc>
        <w:tc>
          <w:tcPr>
            <w:tcW w:w="925" w:type="dxa"/>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708" w:type="dxa"/>
            <w:vMerge w:val="continue"/>
            <w:vAlign w:val="center"/>
          </w:tcPr>
          <w:p>
            <w:pPr>
              <w:spacing w:line="300" w:lineRule="exact"/>
              <w:jc w:val="center"/>
              <w:rPr>
                <w:rFonts w:ascii="宋体" w:hAnsi="宋体"/>
                <w:b/>
                <w:szCs w:val="21"/>
              </w:rPr>
            </w:pPr>
          </w:p>
        </w:tc>
        <w:tc>
          <w:tcPr>
            <w:tcW w:w="673" w:type="dxa"/>
            <w:vMerge w:val="continue"/>
            <w:vAlign w:val="center"/>
          </w:tcPr>
          <w:p>
            <w:pPr>
              <w:spacing w:line="300" w:lineRule="exact"/>
              <w:jc w:val="center"/>
              <w:rPr>
                <w:rFonts w:ascii="宋体" w:hAnsi="宋体"/>
                <w:b/>
                <w:kern w:val="0"/>
                <w:szCs w:val="21"/>
              </w:rPr>
            </w:pPr>
          </w:p>
        </w:tc>
        <w:tc>
          <w:tcPr>
            <w:tcW w:w="4404" w:type="dxa"/>
            <w:vAlign w:val="top"/>
          </w:tcPr>
          <w:p>
            <w:pPr>
              <w:spacing w:line="320" w:lineRule="exact"/>
            </w:pPr>
            <w:r>
              <w:rPr>
                <w:rFonts w:hint="eastAsia"/>
              </w:rPr>
              <w:t>1.5投标人及生产厂家不得以任何理由不按时进行维修，不得要求采购人购买所谓“保修服务”（即：不论设备有无故障，先买保修服务），不得在设备中嵌设任何不利于采购人使用与维修设备的障碍。</w:t>
            </w:r>
          </w:p>
        </w:tc>
        <w:tc>
          <w:tcPr>
            <w:tcW w:w="1608" w:type="dxa"/>
          </w:tcPr>
          <w:p>
            <w:pPr>
              <w:spacing w:line="320" w:lineRule="exact"/>
            </w:pPr>
          </w:p>
        </w:tc>
        <w:tc>
          <w:tcPr>
            <w:tcW w:w="1320" w:type="dxa"/>
          </w:tcPr>
          <w:p>
            <w:pPr>
              <w:spacing w:line="320" w:lineRule="exact"/>
            </w:pPr>
          </w:p>
        </w:tc>
        <w:tc>
          <w:tcPr>
            <w:tcW w:w="925" w:type="dxa"/>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6"/>
            <w:vAlign w:val="center"/>
          </w:tcPr>
          <w:p>
            <w:pPr>
              <w:rPr>
                <w:rFonts w:ascii="宋体" w:hAnsi="宋体"/>
                <w:b/>
                <w:szCs w:val="21"/>
              </w:rPr>
            </w:pPr>
            <w:r>
              <w:rPr>
                <w:rFonts w:hint="eastAsia" w:ascii="宋体" w:hAnsi="宋体"/>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restart"/>
            <w:vAlign w:val="center"/>
          </w:tcPr>
          <w:p>
            <w:pPr>
              <w:jc w:val="center"/>
              <w:rPr>
                <w:rFonts w:ascii="宋体" w:hAnsi="宋体"/>
                <w:b/>
                <w:szCs w:val="21"/>
              </w:rPr>
            </w:pPr>
            <w:r>
              <w:rPr>
                <w:rFonts w:ascii="宋体" w:hAnsi="宋体"/>
                <w:b/>
                <w:szCs w:val="21"/>
              </w:rPr>
              <w:t>2</w:t>
            </w:r>
          </w:p>
        </w:tc>
        <w:tc>
          <w:tcPr>
            <w:tcW w:w="673" w:type="dxa"/>
            <w:vMerge w:val="restart"/>
            <w:vAlign w:val="center"/>
          </w:tcPr>
          <w:p>
            <w:pPr>
              <w:jc w:val="center"/>
              <w:rPr>
                <w:rFonts w:ascii="宋体" w:hAnsi="宋体"/>
                <w:szCs w:val="21"/>
              </w:rPr>
            </w:pPr>
            <w:r>
              <w:rPr>
                <w:rFonts w:hint="eastAsia" w:ascii="宋体" w:hAnsi="宋体"/>
                <w:b/>
                <w:bCs/>
                <w:kern w:val="0"/>
                <w:szCs w:val="21"/>
              </w:rPr>
              <w:t>运输、安装和验收</w:t>
            </w:r>
          </w:p>
        </w:tc>
        <w:tc>
          <w:tcPr>
            <w:tcW w:w="4404" w:type="dxa"/>
            <w:vAlign w:val="top"/>
          </w:tcPr>
          <w:p>
            <w:pPr>
              <w:spacing w:line="320" w:lineRule="atLeast"/>
              <w:rPr>
                <w:rFonts w:ascii="宋体" w:hAnsi="宋体"/>
                <w:bCs/>
                <w:szCs w:val="21"/>
              </w:rPr>
            </w:pPr>
            <w:r>
              <w:rPr>
                <w:rFonts w:ascii="宋体" w:hAnsi="宋体"/>
                <w:bCs/>
                <w:szCs w:val="21"/>
              </w:rPr>
              <w:t>2.1</w:t>
            </w:r>
            <w:r>
              <w:rPr>
                <w:rFonts w:hint="eastAsia" w:ascii="宋体" w:hAnsi="宋体"/>
                <w:bCs/>
                <w:szCs w:val="21"/>
              </w:rPr>
              <w:t>投标人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安全无损运抵采购人指定地点，并承担设备的包装、运输、保险、装卸、安装调试、培训、商检及计量检测、关税、增值税和进口代理等费用。</w:t>
            </w:r>
          </w:p>
        </w:tc>
        <w:tc>
          <w:tcPr>
            <w:tcW w:w="1608" w:type="dxa"/>
          </w:tcPr>
          <w:p>
            <w:pPr>
              <w:spacing w:line="320" w:lineRule="atLeast"/>
              <w:rPr>
                <w:rFonts w:ascii="宋体" w:hAnsi="宋体"/>
                <w:bCs/>
                <w:szCs w:val="21"/>
              </w:rPr>
            </w:pPr>
          </w:p>
        </w:tc>
        <w:tc>
          <w:tcPr>
            <w:tcW w:w="1320" w:type="dxa"/>
          </w:tcPr>
          <w:p>
            <w:pPr>
              <w:spacing w:line="320" w:lineRule="atLeast"/>
              <w:rPr>
                <w:rFonts w:ascii="宋体" w:hAnsi="宋体"/>
                <w:bCs/>
                <w:szCs w:val="21"/>
              </w:rPr>
            </w:pPr>
          </w:p>
        </w:tc>
        <w:tc>
          <w:tcPr>
            <w:tcW w:w="925" w:type="dxa"/>
          </w:tcPr>
          <w:p>
            <w:pPr>
              <w:spacing w:line="320" w:lineRule="atLeas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jc w:val="center"/>
              <w:rPr>
                <w:rFonts w:ascii="宋体" w:hAnsi="宋体"/>
                <w:b/>
                <w:szCs w:val="21"/>
              </w:rPr>
            </w:pPr>
          </w:p>
        </w:tc>
        <w:tc>
          <w:tcPr>
            <w:tcW w:w="673" w:type="dxa"/>
            <w:vMerge w:val="continue"/>
            <w:vAlign w:val="center"/>
          </w:tcPr>
          <w:p>
            <w:pPr>
              <w:jc w:val="center"/>
              <w:rPr>
                <w:rFonts w:ascii="宋体" w:hAnsi="宋体"/>
                <w:szCs w:val="21"/>
              </w:rPr>
            </w:pPr>
          </w:p>
        </w:tc>
        <w:tc>
          <w:tcPr>
            <w:tcW w:w="4404" w:type="dxa"/>
            <w:vAlign w:val="top"/>
          </w:tcPr>
          <w:p>
            <w:pPr>
              <w:tabs>
                <w:tab w:val="left" w:pos="1260"/>
              </w:tabs>
              <w:spacing w:line="320" w:lineRule="atLeast"/>
              <w:rPr>
                <w:rFonts w:ascii="宋体" w:hAnsi="宋体"/>
                <w:bCs/>
                <w:szCs w:val="21"/>
              </w:rPr>
            </w:pPr>
            <w:r>
              <w:rPr>
                <w:rFonts w:ascii="宋体" w:hAnsi="宋体"/>
                <w:bCs/>
                <w:szCs w:val="21"/>
              </w:rPr>
              <w:t>2.2</w:t>
            </w:r>
            <w:r>
              <w:rPr>
                <w:rFonts w:hint="eastAsia" w:ascii="宋体" w:hAnsi="宋体"/>
                <w:bCs/>
                <w:kern w:val="0"/>
                <w:szCs w:val="21"/>
              </w:rPr>
              <w:t>货物安装前厂家需派专业工程师到现场确认场地及安装环境是否符合该设备安装要求，在用户单位、中标人双方在场情况下开箱检验。在安装过程中若造成机器损坏，应由中标人负责修复，安装后保证产品质量。</w:t>
            </w:r>
          </w:p>
        </w:tc>
        <w:tc>
          <w:tcPr>
            <w:tcW w:w="1608" w:type="dxa"/>
          </w:tcPr>
          <w:p>
            <w:pPr>
              <w:spacing w:line="320" w:lineRule="atLeast"/>
              <w:rPr>
                <w:rFonts w:ascii="宋体" w:hAnsi="宋体"/>
                <w:spacing w:val="-3"/>
                <w:szCs w:val="21"/>
              </w:rPr>
            </w:pPr>
          </w:p>
        </w:tc>
        <w:tc>
          <w:tcPr>
            <w:tcW w:w="1320" w:type="dxa"/>
          </w:tcPr>
          <w:p>
            <w:pPr>
              <w:spacing w:line="320" w:lineRule="atLeast"/>
              <w:rPr>
                <w:rFonts w:ascii="宋体" w:hAnsi="宋体"/>
                <w:spacing w:val="-3"/>
                <w:szCs w:val="21"/>
              </w:rPr>
            </w:pPr>
          </w:p>
        </w:tc>
        <w:tc>
          <w:tcPr>
            <w:tcW w:w="925" w:type="dxa"/>
          </w:tcPr>
          <w:p>
            <w:pPr>
              <w:spacing w:line="320" w:lineRule="atLeast"/>
              <w:rPr>
                <w:rFonts w:ascii="宋体" w:hAnsi="宋体"/>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8" w:type="dxa"/>
            <w:vMerge w:val="continue"/>
            <w:vAlign w:val="center"/>
          </w:tcPr>
          <w:p>
            <w:pPr>
              <w:jc w:val="center"/>
              <w:rPr>
                <w:rFonts w:ascii="宋体" w:hAnsi="宋体"/>
                <w:b/>
                <w:szCs w:val="21"/>
              </w:rPr>
            </w:pPr>
          </w:p>
        </w:tc>
        <w:tc>
          <w:tcPr>
            <w:tcW w:w="673" w:type="dxa"/>
            <w:vMerge w:val="continue"/>
            <w:vAlign w:val="center"/>
          </w:tcPr>
          <w:p>
            <w:pPr>
              <w:jc w:val="center"/>
              <w:rPr>
                <w:rFonts w:ascii="宋体" w:hAnsi="宋体"/>
                <w:szCs w:val="21"/>
              </w:rPr>
            </w:pPr>
          </w:p>
        </w:tc>
        <w:tc>
          <w:tcPr>
            <w:tcW w:w="4404" w:type="dxa"/>
            <w:vAlign w:val="top"/>
          </w:tcPr>
          <w:p>
            <w:pPr>
              <w:tabs>
                <w:tab w:val="left" w:pos="1260"/>
              </w:tabs>
              <w:spacing w:line="320" w:lineRule="atLeast"/>
              <w:rPr>
                <w:rFonts w:ascii="宋体" w:hAnsi="宋体"/>
                <w:bCs/>
                <w:szCs w:val="21"/>
              </w:rPr>
            </w:pPr>
            <w:r>
              <w:rPr>
                <w:rFonts w:hint="eastAsia" w:ascii="宋体" w:hAnsi="宋体"/>
                <w:bCs/>
                <w:kern w:val="0"/>
                <w:szCs w:val="21"/>
              </w:rPr>
              <w:t>2.3采购人有权检验或测试货物，以确认货物是否符合合同规格的要求，并且不承担额外的费用。如果发现所交货物与投标文件中所承诺的不符或存在质量、技术缺陷等，采购人可以拒绝接收该货物，投标人应在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bCs/>
                <w:kern w:val="0"/>
                <w:szCs w:val="21"/>
                <w:u w:val="single"/>
              </w:rPr>
              <w:t xml:space="preserve">  </w:t>
            </w:r>
            <w:r>
              <w:rPr>
                <w:rFonts w:ascii="宋体" w:hAnsi="宋体"/>
                <w:bCs/>
                <w:kern w:val="0"/>
                <w:szCs w:val="21"/>
                <w:u w:val="single"/>
              </w:rPr>
              <w:t>30</w:t>
            </w:r>
            <w:r>
              <w:rPr>
                <w:rFonts w:hint="eastAsia" w:ascii="宋体" w:hAnsi="宋体"/>
                <w:bCs/>
                <w:kern w:val="0"/>
                <w:szCs w:val="21"/>
                <w:u w:val="single"/>
              </w:rPr>
              <w:t xml:space="preserve">  </w:t>
            </w:r>
            <w:r>
              <w:rPr>
                <w:rFonts w:hint="eastAsia" w:ascii="宋体" w:hAnsi="宋体"/>
                <w:bCs/>
                <w:kern w:val="0"/>
                <w:szCs w:val="21"/>
              </w:rPr>
              <w:t>天（日历日）内采取补足、更换或退货等措施，以满足规格的要求，由此发生的一切损失和费用由投标人承担。</w:t>
            </w:r>
          </w:p>
        </w:tc>
        <w:tc>
          <w:tcPr>
            <w:tcW w:w="1608" w:type="dxa"/>
          </w:tcPr>
          <w:p>
            <w:pPr>
              <w:spacing w:line="320" w:lineRule="atLeast"/>
              <w:rPr>
                <w:rFonts w:ascii="宋体" w:hAnsi="宋体"/>
                <w:bCs/>
                <w:szCs w:val="21"/>
              </w:rPr>
            </w:pPr>
          </w:p>
        </w:tc>
        <w:tc>
          <w:tcPr>
            <w:tcW w:w="1320" w:type="dxa"/>
          </w:tcPr>
          <w:p>
            <w:pPr>
              <w:spacing w:line="320" w:lineRule="atLeast"/>
              <w:rPr>
                <w:rFonts w:ascii="宋体" w:hAnsi="宋体"/>
                <w:bCs/>
                <w:szCs w:val="21"/>
              </w:rPr>
            </w:pPr>
          </w:p>
        </w:tc>
        <w:tc>
          <w:tcPr>
            <w:tcW w:w="925" w:type="dxa"/>
          </w:tcPr>
          <w:p>
            <w:pPr>
              <w:spacing w:line="320" w:lineRule="atLeas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vAlign w:val="center"/>
          </w:tcPr>
          <w:p>
            <w:pPr>
              <w:jc w:val="center"/>
              <w:rPr>
                <w:rFonts w:ascii="宋体" w:hAnsi="宋体"/>
                <w:b/>
                <w:szCs w:val="21"/>
              </w:rPr>
            </w:pPr>
          </w:p>
        </w:tc>
        <w:tc>
          <w:tcPr>
            <w:tcW w:w="673" w:type="dxa"/>
            <w:vMerge w:val="continue"/>
          </w:tcPr>
          <w:p>
            <w:pPr>
              <w:rPr>
                <w:rFonts w:ascii="宋体" w:hAnsi="宋体"/>
                <w:b/>
                <w:szCs w:val="21"/>
              </w:rPr>
            </w:pPr>
          </w:p>
        </w:tc>
        <w:tc>
          <w:tcPr>
            <w:tcW w:w="4404" w:type="dxa"/>
            <w:vAlign w:val="top"/>
          </w:tcPr>
          <w:p>
            <w:pPr>
              <w:tabs>
                <w:tab w:val="left" w:pos="1260"/>
              </w:tabs>
              <w:spacing w:line="320" w:lineRule="atLeast"/>
              <w:rPr>
                <w:rFonts w:ascii="宋体" w:hAnsi="宋体"/>
                <w:bCs/>
                <w:szCs w:val="21"/>
              </w:rPr>
            </w:pPr>
            <w:r>
              <w:rPr>
                <w:rFonts w:hint="eastAsia" w:ascii="宋体" w:hAnsi="宋体"/>
                <w:spacing w:val="-3"/>
                <w:szCs w:val="21"/>
              </w:rPr>
              <w:t>2.4供货时须确保产品外观清洁，标记编号以及盘面显示等字体清晰、明确，能够准确无误地表示产品的型号、规格、制造商等，并保证所提供的产品的可追溯性。</w:t>
            </w:r>
          </w:p>
        </w:tc>
        <w:tc>
          <w:tcPr>
            <w:tcW w:w="1608" w:type="dxa"/>
          </w:tcPr>
          <w:p>
            <w:pPr>
              <w:tabs>
                <w:tab w:val="left" w:pos="1260"/>
              </w:tabs>
              <w:spacing w:line="320" w:lineRule="atLeast"/>
              <w:rPr>
                <w:rFonts w:ascii="宋体" w:hAnsi="宋体"/>
                <w:bCs/>
                <w:szCs w:val="21"/>
              </w:rPr>
            </w:pPr>
          </w:p>
        </w:tc>
        <w:tc>
          <w:tcPr>
            <w:tcW w:w="1320" w:type="dxa"/>
          </w:tcPr>
          <w:p>
            <w:pPr>
              <w:tabs>
                <w:tab w:val="left" w:pos="1260"/>
              </w:tabs>
              <w:spacing w:line="320" w:lineRule="atLeast"/>
              <w:rPr>
                <w:rFonts w:ascii="宋体" w:hAnsi="宋体"/>
                <w:bCs/>
                <w:szCs w:val="21"/>
              </w:rPr>
            </w:pPr>
          </w:p>
        </w:tc>
        <w:tc>
          <w:tcPr>
            <w:tcW w:w="925" w:type="dxa"/>
          </w:tcPr>
          <w:p>
            <w:pPr>
              <w:tabs>
                <w:tab w:val="left" w:pos="1260"/>
              </w:tabs>
              <w:spacing w:line="320" w:lineRule="atLeas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8" w:type="dxa"/>
            <w:vMerge w:val="continue"/>
            <w:vAlign w:val="center"/>
          </w:tcPr>
          <w:p>
            <w:pPr>
              <w:jc w:val="center"/>
              <w:rPr>
                <w:rFonts w:ascii="宋体" w:hAnsi="宋体"/>
                <w:b/>
                <w:szCs w:val="21"/>
              </w:rPr>
            </w:pPr>
          </w:p>
        </w:tc>
        <w:tc>
          <w:tcPr>
            <w:tcW w:w="673" w:type="dxa"/>
            <w:vMerge w:val="continue"/>
          </w:tcPr>
          <w:p>
            <w:pPr>
              <w:rPr>
                <w:rFonts w:ascii="宋体" w:hAnsi="宋体"/>
                <w:b/>
                <w:szCs w:val="21"/>
              </w:rPr>
            </w:pPr>
          </w:p>
        </w:tc>
        <w:tc>
          <w:tcPr>
            <w:tcW w:w="4404" w:type="dxa"/>
            <w:vAlign w:val="top"/>
          </w:tcPr>
          <w:p>
            <w:pPr>
              <w:tabs>
                <w:tab w:val="left" w:pos="1260"/>
              </w:tabs>
              <w:spacing w:line="320" w:lineRule="atLeast"/>
              <w:rPr>
                <w:rFonts w:ascii="宋体" w:hAnsi="宋体"/>
                <w:spacing w:val="-3"/>
                <w:szCs w:val="21"/>
              </w:rPr>
            </w:pPr>
            <w:r>
              <w:rPr>
                <w:rFonts w:ascii="宋体" w:hAnsi="宋体"/>
                <w:spacing w:val="-3"/>
                <w:szCs w:val="21"/>
              </w:rPr>
              <w:t>2.</w:t>
            </w:r>
            <w:r>
              <w:rPr>
                <w:rFonts w:hint="eastAsia" w:ascii="宋体" w:hAnsi="宋体"/>
                <w:spacing w:val="-3"/>
                <w:szCs w:val="21"/>
              </w:rPr>
              <w:t>5投标人负责货物的现场安装和调试，提供货物安装、调试和维修所需的专用工具和辅助材料。投标人应在货物运至指定地点后一周内开始安装调试，并在</w:t>
            </w:r>
            <w:r>
              <w:rPr>
                <w:rFonts w:ascii="宋体" w:hAnsi="宋体"/>
                <w:bCs/>
                <w:kern w:val="0"/>
                <w:sz w:val="24"/>
                <w:u w:val="single"/>
              </w:rPr>
              <w:t xml:space="preserve">  </w:t>
            </w:r>
            <w:r>
              <w:rPr>
                <w:rFonts w:ascii="宋体" w:hAnsi="宋体"/>
                <w:bCs/>
                <w:kern w:val="0"/>
                <w:szCs w:val="21"/>
                <w:u w:val="single"/>
              </w:rPr>
              <w:t>15</w:t>
            </w:r>
            <w:r>
              <w:rPr>
                <w:rFonts w:ascii="宋体" w:hAnsi="宋体"/>
                <w:bCs/>
                <w:kern w:val="0"/>
                <w:sz w:val="24"/>
                <w:u w:val="single"/>
              </w:rPr>
              <w:t xml:space="preserve"> </w:t>
            </w:r>
            <w:r>
              <w:rPr>
                <w:rFonts w:ascii="宋体" w:hAnsi="宋体"/>
                <w:bCs/>
                <w:kern w:val="0"/>
                <w:szCs w:val="21"/>
                <w:u w:val="single"/>
              </w:rPr>
              <w:t xml:space="preserve"> </w:t>
            </w:r>
            <w:r>
              <w:rPr>
                <w:rFonts w:hint="eastAsia" w:ascii="宋体" w:hAnsi="宋体"/>
                <w:spacing w:val="-3"/>
                <w:szCs w:val="21"/>
              </w:rPr>
              <w:t>天（日历日）内完成安装调试工作。</w:t>
            </w:r>
          </w:p>
        </w:tc>
        <w:tc>
          <w:tcPr>
            <w:tcW w:w="1608" w:type="dxa"/>
          </w:tcPr>
          <w:p>
            <w:pPr>
              <w:tabs>
                <w:tab w:val="left" w:pos="1260"/>
              </w:tabs>
              <w:spacing w:line="320" w:lineRule="atLeast"/>
              <w:rPr>
                <w:rFonts w:ascii="宋体" w:hAnsi="宋体"/>
                <w:bCs/>
                <w:kern w:val="0"/>
                <w:szCs w:val="21"/>
              </w:rPr>
            </w:pPr>
          </w:p>
        </w:tc>
        <w:tc>
          <w:tcPr>
            <w:tcW w:w="1320" w:type="dxa"/>
          </w:tcPr>
          <w:p>
            <w:pPr>
              <w:tabs>
                <w:tab w:val="left" w:pos="1260"/>
              </w:tabs>
              <w:spacing w:line="320" w:lineRule="atLeast"/>
              <w:rPr>
                <w:rFonts w:ascii="宋体" w:hAnsi="宋体"/>
                <w:bCs/>
                <w:kern w:val="0"/>
                <w:szCs w:val="21"/>
              </w:rPr>
            </w:pPr>
          </w:p>
        </w:tc>
        <w:tc>
          <w:tcPr>
            <w:tcW w:w="925" w:type="dxa"/>
          </w:tcPr>
          <w:p>
            <w:pPr>
              <w:tabs>
                <w:tab w:val="left" w:pos="1260"/>
              </w:tabs>
              <w:spacing w:line="320" w:lineRule="atLeas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8" w:type="dxa"/>
            <w:vMerge w:val="continue"/>
            <w:vAlign w:val="center"/>
          </w:tcPr>
          <w:p>
            <w:pPr>
              <w:jc w:val="center"/>
              <w:rPr>
                <w:rFonts w:ascii="宋体" w:hAnsi="宋体"/>
                <w:b/>
                <w:szCs w:val="21"/>
              </w:rPr>
            </w:pPr>
          </w:p>
        </w:tc>
        <w:tc>
          <w:tcPr>
            <w:tcW w:w="673" w:type="dxa"/>
            <w:vMerge w:val="continue"/>
          </w:tcPr>
          <w:p>
            <w:pPr>
              <w:rPr>
                <w:rFonts w:ascii="宋体" w:hAnsi="宋体"/>
                <w:b/>
                <w:szCs w:val="21"/>
              </w:rPr>
            </w:pPr>
          </w:p>
        </w:tc>
        <w:tc>
          <w:tcPr>
            <w:tcW w:w="4404" w:type="dxa"/>
            <w:vAlign w:val="top"/>
          </w:tcPr>
          <w:p>
            <w:pPr>
              <w:tabs>
                <w:tab w:val="left" w:pos="1260"/>
              </w:tabs>
              <w:spacing w:line="320" w:lineRule="atLeast"/>
              <w:rPr>
                <w:rFonts w:ascii="宋体" w:hAnsi="宋体"/>
                <w:spacing w:val="-3"/>
                <w:szCs w:val="21"/>
              </w:rPr>
            </w:pPr>
            <w:r>
              <w:rPr>
                <w:rFonts w:ascii="宋体" w:hAnsi="宋体"/>
                <w:spacing w:val="-3"/>
                <w:szCs w:val="21"/>
              </w:rPr>
              <w:t>2.</w:t>
            </w:r>
            <w:r>
              <w:rPr>
                <w:rFonts w:hint="eastAsia" w:ascii="宋体" w:hAnsi="宋体"/>
                <w:spacing w:val="-3"/>
                <w:szCs w:val="21"/>
              </w:rPr>
              <w:t>6由投标人代表、厂家代表和采购人组成验收小组对产品进行验收。验收标准按照产品技术参数要求和合同约定执行。经检验设备正常运作后签署性能验收报告，产品保修期自性能验收合格之日起算。</w:t>
            </w:r>
          </w:p>
        </w:tc>
        <w:tc>
          <w:tcPr>
            <w:tcW w:w="1608" w:type="dxa"/>
          </w:tcPr>
          <w:p>
            <w:pPr>
              <w:tabs>
                <w:tab w:val="left" w:pos="1260"/>
              </w:tabs>
              <w:spacing w:line="320" w:lineRule="atLeast"/>
              <w:rPr>
                <w:rFonts w:ascii="宋体" w:hAnsi="宋体"/>
                <w:spacing w:val="-3"/>
                <w:szCs w:val="21"/>
              </w:rPr>
            </w:pPr>
          </w:p>
        </w:tc>
        <w:tc>
          <w:tcPr>
            <w:tcW w:w="1320" w:type="dxa"/>
          </w:tcPr>
          <w:p>
            <w:pPr>
              <w:tabs>
                <w:tab w:val="left" w:pos="1260"/>
              </w:tabs>
              <w:spacing w:line="320" w:lineRule="atLeast"/>
              <w:rPr>
                <w:rFonts w:ascii="宋体" w:hAnsi="宋体"/>
                <w:spacing w:val="-3"/>
                <w:szCs w:val="21"/>
              </w:rPr>
            </w:pPr>
          </w:p>
        </w:tc>
        <w:tc>
          <w:tcPr>
            <w:tcW w:w="925" w:type="dxa"/>
          </w:tcPr>
          <w:p>
            <w:pPr>
              <w:tabs>
                <w:tab w:val="left" w:pos="1260"/>
              </w:tabs>
              <w:spacing w:line="320" w:lineRule="atLeast"/>
              <w:rPr>
                <w:rFonts w:ascii="宋体" w:hAnsi="宋体"/>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08" w:type="dxa"/>
            <w:vAlign w:val="center"/>
          </w:tcPr>
          <w:p>
            <w:pPr>
              <w:jc w:val="center"/>
              <w:rPr>
                <w:rFonts w:ascii="宋体" w:hAnsi="宋体"/>
                <w:b/>
                <w:szCs w:val="21"/>
              </w:rPr>
            </w:pPr>
            <w:r>
              <w:rPr>
                <w:rFonts w:ascii="宋体" w:hAnsi="宋体"/>
                <w:b/>
                <w:szCs w:val="21"/>
              </w:rPr>
              <w:t>3</w:t>
            </w:r>
          </w:p>
        </w:tc>
        <w:tc>
          <w:tcPr>
            <w:tcW w:w="673" w:type="dxa"/>
            <w:vAlign w:val="center"/>
          </w:tcPr>
          <w:p>
            <w:pPr>
              <w:jc w:val="center"/>
              <w:rPr>
                <w:rFonts w:ascii="宋体" w:hAnsi="宋体"/>
                <w:b/>
                <w:szCs w:val="21"/>
              </w:rPr>
            </w:pPr>
            <w:r>
              <w:rPr>
                <w:rFonts w:hint="eastAsia" w:ascii="宋体" w:hAnsi="宋体"/>
                <w:b/>
                <w:kern w:val="0"/>
                <w:szCs w:val="21"/>
              </w:rPr>
              <w:t>培训</w:t>
            </w:r>
          </w:p>
        </w:tc>
        <w:tc>
          <w:tcPr>
            <w:tcW w:w="4404" w:type="dxa"/>
            <w:vAlign w:val="top"/>
          </w:tcPr>
          <w:p>
            <w:pPr>
              <w:spacing w:line="320" w:lineRule="atLeast"/>
              <w:rPr>
                <w:rFonts w:ascii="宋体" w:hAnsi="宋体"/>
                <w:b/>
                <w:szCs w:val="21"/>
              </w:rPr>
            </w:pPr>
            <w:r>
              <w:rPr>
                <w:rFonts w:hint="eastAsia" w:ascii="宋体" w:hAnsi="宋体"/>
                <w:bCs/>
                <w:kern w:val="0"/>
                <w:szCs w:val="21"/>
              </w:rPr>
              <w:t>3.1中标人应派专业技术人员免费对采购单位制定人员进行定期培训及指导，直至其完全掌握设备的基本故障处理技术。</w:t>
            </w:r>
          </w:p>
        </w:tc>
        <w:tc>
          <w:tcPr>
            <w:tcW w:w="1608" w:type="dxa"/>
          </w:tcPr>
          <w:p>
            <w:pPr>
              <w:spacing w:line="320" w:lineRule="atLeast"/>
              <w:rPr>
                <w:rFonts w:ascii="宋体" w:hAnsi="宋体"/>
                <w:bCs/>
                <w:kern w:val="0"/>
                <w:szCs w:val="21"/>
              </w:rPr>
            </w:pPr>
          </w:p>
        </w:tc>
        <w:tc>
          <w:tcPr>
            <w:tcW w:w="1320" w:type="dxa"/>
          </w:tcPr>
          <w:p>
            <w:pPr>
              <w:spacing w:line="320" w:lineRule="atLeast"/>
              <w:rPr>
                <w:rFonts w:ascii="宋体" w:hAnsi="宋体"/>
                <w:bCs/>
                <w:kern w:val="0"/>
                <w:szCs w:val="21"/>
              </w:rPr>
            </w:pPr>
          </w:p>
        </w:tc>
        <w:tc>
          <w:tcPr>
            <w:tcW w:w="925" w:type="dxa"/>
          </w:tcPr>
          <w:p>
            <w:pPr>
              <w:spacing w:line="320" w:lineRule="atLeas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restart"/>
            <w:vAlign w:val="center"/>
          </w:tcPr>
          <w:p>
            <w:pPr>
              <w:jc w:val="center"/>
              <w:rPr>
                <w:rFonts w:ascii="宋体" w:hAnsi="宋体"/>
                <w:b/>
                <w:szCs w:val="21"/>
              </w:rPr>
            </w:pPr>
            <w:r>
              <w:rPr>
                <w:rFonts w:hint="eastAsia" w:ascii="宋体" w:hAnsi="宋体"/>
                <w:b/>
                <w:szCs w:val="21"/>
              </w:rPr>
              <w:t>4</w:t>
            </w:r>
          </w:p>
        </w:tc>
        <w:tc>
          <w:tcPr>
            <w:tcW w:w="673" w:type="dxa"/>
            <w:vMerge w:val="restart"/>
            <w:vAlign w:val="center"/>
          </w:tcPr>
          <w:p>
            <w:pPr>
              <w:jc w:val="center"/>
              <w:rPr>
                <w:rFonts w:ascii="宋体" w:hAnsi="宋体"/>
                <w:b/>
                <w:kern w:val="0"/>
                <w:szCs w:val="21"/>
              </w:rPr>
            </w:pPr>
            <w:r>
              <w:rPr>
                <w:rFonts w:hint="eastAsia" w:ascii="宋体" w:hAnsi="宋体"/>
                <w:b/>
                <w:kern w:val="0"/>
                <w:szCs w:val="21"/>
              </w:rPr>
              <w:t>知识产权</w:t>
            </w:r>
          </w:p>
        </w:tc>
        <w:tc>
          <w:tcPr>
            <w:tcW w:w="4404" w:type="dxa"/>
            <w:vAlign w:val="top"/>
          </w:tcPr>
          <w:p>
            <w:pPr>
              <w:spacing w:line="320" w:lineRule="atLeast"/>
              <w:rPr>
                <w:rFonts w:ascii="宋体" w:hAnsi="宋体"/>
                <w:bCs/>
                <w:kern w:val="0"/>
                <w:szCs w:val="21"/>
              </w:rPr>
            </w:pPr>
            <w:r>
              <w:rPr>
                <w:rFonts w:hint="eastAsia" w:ascii="宋体" w:hAnsi="宋体"/>
                <w:bCs/>
                <w:kern w:val="0"/>
                <w:szCs w:val="21"/>
              </w:rPr>
              <w:t>4.1投标人应保证采购人在使用该货物或其任何一部分时，免受第三方提出的侵犯其专利权、商标权、著作权或其他知识产权的起诉。投标人保证所提供软件的合法性，所发生的任何知识产权纠纷与采购人无关。</w:t>
            </w:r>
          </w:p>
        </w:tc>
        <w:tc>
          <w:tcPr>
            <w:tcW w:w="1608" w:type="dxa"/>
          </w:tcPr>
          <w:p>
            <w:pPr>
              <w:spacing w:line="320" w:lineRule="atLeast"/>
              <w:rPr>
                <w:rFonts w:ascii="宋体" w:hAnsi="宋体"/>
                <w:bCs/>
                <w:kern w:val="0"/>
                <w:szCs w:val="21"/>
              </w:rPr>
            </w:pPr>
          </w:p>
        </w:tc>
        <w:tc>
          <w:tcPr>
            <w:tcW w:w="1320" w:type="dxa"/>
          </w:tcPr>
          <w:p>
            <w:pPr>
              <w:spacing w:line="320" w:lineRule="atLeast"/>
              <w:rPr>
                <w:rFonts w:ascii="宋体" w:hAnsi="宋体"/>
                <w:bCs/>
                <w:kern w:val="0"/>
                <w:szCs w:val="21"/>
              </w:rPr>
            </w:pPr>
          </w:p>
        </w:tc>
        <w:tc>
          <w:tcPr>
            <w:tcW w:w="925" w:type="dxa"/>
          </w:tcPr>
          <w:p>
            <w:pPr>
              <w:spacing w:line="320" w:lineRule="atLeas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08" w:type="dxa"/>
            <w:vMerge w:val="continue"/>
            <w:vAlign w:val="center"/>
          </w:tcPr>
          <w:p>
            <w:pPr>
              <w:jc w:val="center"/>
              <w:rPr>
                <w:rFonts w:ascii="宋体" w:hAnsi="宋体"/>
                <w:b/>
                <w:szCs w:val="21"/>
              </w:rPr>
            </w:pPr>
          </w:p>
        </w:tc>
        <w:tc>
          <w:tcPr>
            <w:tcW w:w="673" w:type="dxa"/>
            <w:vMerge w:val="continue"/>
            <w:vAlign w:val="center"/>
          </w:tcPr>
          <w:p>
            <w:pPr>
              <w:jc w:val="center"/>
              <w:rPr>
                <w:rFonts w:ascii="宋体" w:hAnsi="宋体"/>
                <w:b/>
                <w:kern w:val="0"/>
                <w:szCs w:val="21"/>
              </w:rPr>
            </w:pPr>
          </w:p>
        </w:tc>
        <w:tc>
          <w:tcPr>
            <w:tcW w:w="4404" w:type="dxa"/>
            <w:vAlign w:val="top"/>
          </w:tcPr>
          <w:p>
            <w:pPr>
              <w:spacing w:line="320" w:lineRule="atLeast"/>
              <w:rPr>
                <w:rFonts w:ascii="宋体" w:hAnsi="宋体"/>
                <w:bCs/>
                <w:kern w:val="0"/>
                <w:szCs w:val="21"/>
              </w:rPr>
            </w:pPr>
            <w:r>
              <w:rPr>
                <w:rFonts w:hint="eastAsia" w:ascii="宋体" w:hAnsi="宋体"/>
                <w:bCs/>
                <w:kern w:val="0"/>
                <w:szCs w:val="21"/>
              </w:rPr>
              <w:t>4.2采购人购买产品后，有权对该产品与其他设备进行配套、整合或适当改进，而免受侵犯专利权的起诉。</w:t>
            </w:r>
          </w:p>
        </w:tc>
        <w:tc>
          <w:tcPr>
            <w:tcW w:w="1608" w:type="dxa"/>
          </w:tcPr>
          <w:p>
            <w:pPr>
              <w:spacing w:line="320" w:lineRule="atLeast"/>
              <w:rPr>
                <w:rFonts w:ascii="宋体" w:hAnsi="宋体"/>
                <w:bCs/>
                <w:kern w:val="0"/>
                <w:szCs w:val="21"/>
              </w:rPr>
            </w:pPr>
          </w:p>
        </w:tc>
        <w:tc>
          <w:tcPr>
            <w:tcW w:w="1320" w:type="dxa"/>
          </w:tcPr>
          <w:p>
            <w:pPr>
              <w:spacing w:line="320" w:lineRule="atLeast"/>
              <w:rPr>
                <w:rFonts w:ascii="宋体" w:hAnsi="宋体"/>
                <w:bCs/>
                <w:kern w:val="0"/>
                <w:szCs w:val="21"/>
              </w:rPr>
            </w:pPr>
          </w:p>
        </w:tc>
        <w:tc>
          <w:tcPr>
            <w:tcW w:w="925" w:type="dxa"/>
          </w:tcPr>
          <w:p>
            <w:pPr>
              <w:spacing w:line="320" w:lineRule="atLeas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8" w:type="dxa"/>
            <w:vAlign w:val="center"/>
          </w:tcPr>
          <w:p>
            <w:pPr>
              <w:jc w:val="center"/>
              <w:rPr>
                <w:rFonts w:ascii="宋体" w:hAnsi="宋体"/>
                <w:b/>
                <w:szCs w:val="21"/>
              </w:rPr>
            </w:pPr>
            <w:r>
              <w:rPr>
                <w:rFonts w:hint="eastAsia" w:ascii="宋体" w:hAnsi="宋体"/>
                <w:b/>
                <w:szCs w:val="21"/>
              </w:rPr>
              <w:t>5</w:t>
            </w:r>
          </w:p>
        </w:tc>
        <w:tc>
          <w:tcPr>
            <w:tcW w:w="673" w:type="dxa"/>
            <w:vAlign w:val="center"/>
          </w:tcPr>
          <w:p>
            <w:pPr>
              <w:jc w:val="center"/>
              <w:rPr>
                <w:rFonts w:ascii="宋体" w:hAnsi="宋体"/>
                <w:b/>
                <w:kern w:val="0"/>
                <w:szCs w:val="21"/>
              </w:rPr>
            </w:pPr>
            <w:r>
              <w:rPr>
                <w:rFonts w:hint="eastAsia" w:ascii="宋体" w:hAnsi="宋体"/>
                <w:b/>
                <w:kern w:val="0"/>
                <w:szCs w:val="21"/>
              </w:rPr>
              <w:t>其他</w:t>
            </w:r>
          </w:p>
        </w:tc>
        <w:tc>
          <w:tcPr>
            <w:tcW w:w="4404" w:type="dxa"/>
            <w:vAlign w:val="center"/>
          </w:tcPr>
          <w:p>
            <w:pPr>
              <w:rPr>
                <w:rFonts w:ascii="宋体" w:hAnsi="宋体"/>
                <w:bCs/>
                <w:kern w:val="0"/>
                <w:szCs w:val="21"/>
              </w:rPr>
            </w:pPr>
            <w:r>
              <w:rPr>
                <w:rFonts w:hint="eastAsia" w:ascii="宋体" w:hAnsi="宋体"/>
                <w:bCs/>
                <w:kern w:val="0"/>
                <w:szCs w:val="21"/>
              </w:rPr>
              <w:t>5.1投标人应按其投标文件中的承诺，进行其他售后服务工作。</w:t>
            </w:r>
          </w:p>
        </w:tc>
        <w:tc>
          <w:tcPr>
            <w:tcW w:w="1608" w:type="dxa"/>
            <w:vAlign w:val="center"/>
          </w:tcPr>
          <w:p>
            <w:pPr>
              <w:rPr>
                <w:rFonts w:ascii="宋体" w:hAnsi="宋体"/>
                <w:bCs/>
                <w:kern w:val="0"/>
                <w:szCs w:val="21"/>
              </w:rPr>
            </w:pPr>
          </w:p>
        </w:tc>
        <w:tc>
          <w:tcPr>
            <w:tcW w:w="1320" w:type="dxa"/>
            <w:vAlign w:val="center"/>
          </w:tcPr>
          <w:p>
            <w:pPr>
              <w:rPr>
                <w:rFonts w:ascii="宋体" w:hAnsi="宋体"/>
                <w:bCs/>
                <w:kern w:val="0"/>
                <w:szCs w:val="21"/>
              </w:rPr>
            </w:pPr>
          </w:p>
        </w:tc>
        <w:tc>
          <w:tcPr>
            <w:tcW w:w="925" w:type="dxa"/>
            <w:vAlign w:val="center"/>
          </w:tcPr>
          <w:p>
            <w:pPr>
              <w:rPr>
                <w:rFonts w:ascii="宋体" w:hAnsi="宋体"/>
                <w:bCs/>
                <w:kern w:val="0"/>
                <w:szCs w:val="21"/>
              </w:rPr>
            </w:pPr>
          </w:p>
        </w:tc>
      </w:tr>
    </w:tbl>
    <w:p>
      <w:pPr>
        <w:ind w:firstLine="482" w:firstLineChars="200"/>
        <w:rPr>
          <w:rFonts w:hint="eastAsia"/>
          <w:b/>
          <w:sz w:val="24"/>
        </w:rPr>
      </w:pPr>
    </w:p>
    <w:p>
      <w:pPr>
        <w:ind w:firstLine="482" w:firstLineChars="200"/>
        <w:rPr>
          <w:b/>
          <w:sz w:val="24"/>
        </w:rPr>
      </w:pPr>
      <w:r>
        <w:rPr>
          <w:rFonts w:hint="eastAsia"/>
          <w:b/>
          <w:sz w:val="24"/>
        </w:rPr>
        <w:t>《商务要求偏离表》编制指引：</w:t>
      </w:r>
    </w:p>
    <w:p>
      <w:pPr>
        <w:ind w:firstLine="482" w:firstLineChars="200"/>
        <w:rPr>
          <w:b/>
          <w:sz w:val="24"/>
        </w:rPr>
      </w:pPr>
      <w:r>
        <w:rPr>
          <w:rFonts w:hint="eastAsia"/>
          <w:b/>
          <w:sz w:val="24"/>
        </w:rPr>
        <w:t>1、商务要求偏离表的序号、商务需求项、招标商务要求等栏目对应“用户需求书”中的“商务要求”章节相关内容。</w:t>
      </w:r>
    </w:p>
    <w:p>
      <w:pPr>
        <w:ind w:firstLine="482" w:firstLineChars="200"/>
        <w:rPr>
          <w:color w:val="FF0000"/>
          <w:sz w:val="24"/>
        </w:rPr>
      </w:pPr>
      <w:r>
        <w:rPr>
          <w:b/>
          <w:sz w:val="24"/>
        </w:rPr>
        <w:t>2</w:t>
      </w:r>
      <w:r>
        <w:rPr>
          <w:rFonts w:hint="eastAsia"/>
          <w:b/>
          <w:sz w:val="24"/>
        </w:rPr>
        <w:t>、“偏离情况”一栏填写如实填写“正偏离”、“负偏离”或“无偏离”，其中：“正偏离”表示“投标响应优于招标商务要求”，“负偏离”表示“投标响应不满足招标商务要求”，“无偏离”表示“投标响应与招标商务要求一致”。</w:t>
      </w:r>
    </w:p>
    <w:p>
      <w:pPr>
        <w:rPr>
          <w:sz w:val="24"/>
        </w:rPr>
      </w:pPr>
      <w:r>
        <w:rPr>
          <w:rFonts w:hint="eastAsia"/>
          <w:b/>
          <w:sz w:val="24"/>
        </w:rPr>
        <w:t>“投标商务响应”对比“招标商务要求”存在响应不全（包括未响应整项招标商务要求或者未响应一项招标商务要求的部分内容），均视为“负偏离”。</w:t>
      </w:r>
    </w:p>
    <w:p>
      <w:pPr>
        <w:rPr>
          <w:sz w:val="24"/>
        </w:rPr>
      </w:pPr>
    </w:p>
    <w:p>
      <w:pPr>
        <w:rPr>
          <w:sz w:val="24"/>
        </w:rPr>
      </w:pPr>
    </w:p>
    <w:p>
      <w:pPr>
        <w:pStyle w:val="4"/>
        <w:jc w:val="center"/>
        <w:rPr>
          <w:rFonts w:ascii="黑体" w:eastAsia="黑体"/>
          <w:b w:val="0"/>
          <w:sz w:val="24"/>
          <w:szCs w:val="24"/>
        </w:rPr>
      </w:pPr>
      <w:bookmarkStart w:id="82" w:name="_Hlk72260576"/>
      <w:r>
        <w:rPr>
          <w:rFonts w:hint="eastAsia" w:ascii="黑体" w:eastAsia="黑体"/>
          <w:b w:val="0"/>
          <w:sz w:val="24"/>
          <w:szCs w:val="24"/>
        </w:rPr>
        <w:t>六、项目实施方案</w:t>
      </w:r>
    </w:p>
    <w:p>
      <w:pPr>
        <w:rPr>
          <w:sz w:val="24"/>
        </w:rPr>
      </w:pPr>
      <w:r>
        <w:rPr>
          <w:rFonts w:hint="eastAsia"/>
          <w:sz w:val="24"/>
        </w:rPr>
        <w:t>主要内容应包括</w:t>
      </w:r>
      <w:r>
        <w:rPr>
          <w:rFonts w:hint="eastAsia"/>
          <w:color w:val="FF0000"/>
          <w:sz w:val="24"/>
        </w:rPr>
        <w:t>(根据项目实际情况适当调整内容)</w:t>
      </w:r>
      <w:r>
        <w:rPr>
          <w:rFonts w:hint="eastAsia"/>
          <w:sz w:val="24"/>
        </w:rPr>
        <w:t>：</w:t>
      </w:r>
    </w:p>
    <w:p>
      <w:pPr>
        <w:rPr>
          <w:sz w:val="24"/>
        </w:rPr>
      </w:pPr>
    </w:p>
    <w:p>
      <w:pPr>
        <w:rPr>
          <w:sz w:val="24"/>
        </w:rPr>
      </w:pPr>
      <w:r>
        <w:rPr>
          <w:rFonts w:hint="eastAsia"/>
          <w:sz w:val="24"/>
        </w:rPr>
        <w:t>1、项目实施方案、维修维护方案</w:t>
      </w:r>
    </w:p>
    <w:p>
      <w:pPr>
        <w:rPr>
          <w:sz w:val="24"/>
        </w:rPr>
      </w:pPr>
      <w:r>
        <w:rPr>
          <w:sz w:val="24"/>
        </w:rPr>
        <w:t>2</w:t>
      </w:r>
      <w:r>
        <w:rPr>
          <w:rFonts w:hint="eastAsia"/>
          <w:sz w:val="24"/>
        </w:rPr>
        <w:t>、其他相关配套措施</w:t>
      </w:r>
    </w:p>
    <w:p>
      <w:pPr>
        <w:rPr>
          <w:sz w:val="24"/>
        </w:rPr>
      </w:pPr>
      <w:r>
        <w:rPr>
          <w:rFonts w:hint="eastAsia"/>
          <w:sz w:val="24"/>
        </w:rPr>
        <w:t>3、实施进度表</w:t>
      </w:r>
    </w:p>
    <w:p>
      <w:pPr>
        <w:rPr>
          <w:b/>
          <w:bCs/>
          <w:color w:val="FF0000"/>
          <w:sz w:val="24"/>
        </w:rPr>
      </w:pPr>
      <w:r>
        <w:rPr>
          <w:rFonts w:hint="eastAsia"/>
          <w:b/>
          <w:bCs/>
          <w:color w:val="FF0000"/>
          <w:sz w:val="24"/>
        </w:rPr>
        <w:t>（备注：该部分须与投标文件其他部分内容应当相呼应，不得前后矛盾。）</w:t>
      </w:r>
    </w:p>
    <w:p>
      <w:pPr>
        <w:rPr>
          <w:b/>
          <w:bCs/>
          <w:sz w:val="24"/>
        </w:rPr>
      </w:pPr>
    </w:p>
    <w:p>
      <w:pPr>
        <w:rPr>
          <w:sz w:val="24"/>
        </w:rPr>
      </w:pPr>
      <w:r>
        <w:t xml:space="preserve">  </w:t>
      </w:r>
    </w:p>
    <w:p>
      <w:pPr>
        <w:pStyle w:val="4"/>
        <w:jc w:val="center"/>
        <w:rPr>
          <w:rFonts w:ascii="黑体" w:eastAsia="黑体"/>
          <w:b w:val="0"/>
          <w:bCs w:val="0"/>
          <w:sz w:val="24"/>
          <w:szCs w:val="20"/>
        </w:rPr>
      </w:pPr>
      <w:r>
        <w:rPr>
          <w:rFonts w:hint="eastAsia" w:ascii="黑体" w:eastAsia="黑体"/>
          <w:b w:val="0"/>
          <w:bCs w:val="0"/>
          <w:sz w:val="24"/>
          <w:szCs w:val="20"/>
          <w:lang w:val="en-US" w:eastAsia="zh-CN"/>
        </w:rPr>
        <w:t>七</w:t>
      </w:r>
      <w:r>
        <w:rPr>
          <w:rFonts w:hint="eastAsia" w:ascii="黑体" w:eastAsia="黑体"/>
          <w:b w:val="0"/>
          <w:bCs w:val="0"/>
          <w:sz w:val="24"/>
          <w:szCs w:val="20"/>
        </w:rPr>
        <w:t>、</w:t>
      </w:r>
      <w:bookmarkStart w:id="83" w:name="_Hlk72062872"/>
      <w:r>
        <w:rPr>
          <w:rFonts w:hint="eastAsia" w:ascii="黑体" w:eastAsia="黑体"/>
          <w:b w:val="0"/>
          <w:bCs w:val="0"/>
          <w:sz w:val="24"/>
          <w:szCs w:val="20"/>
        </w:rPr>
        <w:t>投标人认为需要加以说明的其他内容</w:t>
      </w:r>
      <w:bookmarkEnd w:id="83"/>
    </w:p>
    <w:bookmarkEnd w:id="82"/>
    <w:p/>
    <w:p/>
    <w:p>
      <w:pPr>
        <w:pStyle w:val="5"/>
      </w:pPr>
      <w:r>
        <w:rPr>
          <w:rFonts w:hint="eastAsia"/>
        </w:rPr>
        <w:t>第五章  合同条款及格式</w:t>
      </w:r>
    </w:p>
    <w:p>
      <w:pPr>
        <w:ind w:firstLine="411" w:firstLineChars="196"/>
      </w:pPr>
    </w:p>
    <w:p>
      <w:pPr>
        <w:jc w:val="center"/>
        <w:outlineLvl w:val="9"/>
      </w:pPr>
      <w:bookmarkStart w:id="84" w:name="_Hlk72574405"/>
      <w:bookmarkStart w:id="85" w:name="_Hlk72260917"/>
      <w:r>
        <w:rPr>
          <w:rFonts w:hint="eastAsia"/>
          <w:b/>
          <w:sz w:val="24"/>
        </w:rPr>
        <w:t>（仅供参考，具体以项目需求及采购结果为准）</w:t>
      </w:r>
      <w:bookmarkEnd w:id="84"/>
    </w:p>
    <w:p>
      <w:pPr>
        <w:ind w:firstLine="420" w:firstLineChars="200"/>
        <w:rPr>
          <w:rFonts w:ascii="仿宋" w:hAnsi="仿宋" w:cs="宋体"/>
          <w:spacing w:val="30"/>
          <w:szCs w:val="21"/>
        </w:rPr>
      </w:pPr>
      <w:r>
        <w:rPr>
          <w:rFonts w:hint="eastAsia" w:ascii="仿宋" w:hAnsi="仿宋" w:cs="宋体"/>
          <w:szCs w:val="21"/>
        </w:rPr>
        <w:t>甲方（采购人）：</w:t>
      </w:r>
    </w:p>
    <w:p>
      <w:pPr>
        <w:ind w:firstLine="420" w:firstLineChars="200"/>
        <w:rPr>
          <w:rFonts w:ascii="仿宋" w:hAnsi="仿宋" w:cs="宋体"/>
          <w:szCs w:val="21"/>
        </w:rPr>
      </w:pPr>
      <w:r>
        <w:rPr>
          <w:rFonts w:hint="eastAsia" w:ascii="仿宋" w:hAnsi="仿宋" w:cs="宋体"/>
          <w:szCs w:val="21"/>
        </w:rPr>
        <w:t>法定代表人：</w:t>
      </w:r>
    </w:p>
    <w:p>
      <w:pPr>
        <w:ind w:firstLine="420" w:firstLineChars="200"/>
        <w:rPr>
          <w:rFonts w:ascii="仿宋" w:hAnsi="仿宋" w:cs="宋体"/>
          <w:szCs w:val="21"/>
        </w:rPr>
      </w:pPr>
      <w:r>
        <w:rPr>
          <w:rFonts w:hint="eastAsia" w:ascii="仿宋" w:hAnsi="仿宋" w:cs="宋体"/>
          <w:szCs w:val="21"/>
        </w:rPr>
        <w:t>地址：</w:t>
      </w:r>
    </w:p>
    <w:p>
      <w:pPr>
        <w:ind w:firstLine="420" w:firstLineChars="200"/>
        <w:rPr>
          <w:rFonts w:ascii="仿宋" w:hAnsi="仿宋" w:cs="宋体"/>
          <w:szCs w:val="21"/>
        </w:rPr>
      </w:pPr>
      <w:r>
        <w:rPr>
          <w:rFonts w:hint="eastAsia" w:ascii="仿宋" w:hAnsi="仿宋" w:cs="宋体"/>
          <w:szCs w:val="21"/>
        </w:rPr>
        <w:t>电话：</w:t>
      </w:r>
    </w:p>
    <w:p>
      <w:pPr>
        <w:pStyle w:val="2"/>
        <w:rPr>
          <w:sz w:val="21"/>
          <w:szCs w:val="21"/>
          <w:lang w:eastAsia="zh-CN"/>
        </w:rPr>
      </w:pPr>
    </w:p>
    <w:p>
      <w:pPr>
        <w:ind w:firstLine="420" w:firstLineChars="200"/>
        <w:rPr>
          <w:rFonts w:ascii="仿宋" w:hAnsi="仿宋" w:cs="宋体"/>
          <w:szCs w:val="21"/>
        </w:rPr>
      </w:pPr>
      <w:r>
        <w:rPr>
          <w:rFonts w:hint="eastAsia" w:ascii="仿宋" w:hAnsi="仿宋" w:cs="宋体"/>
          <w:szCs w:val="21"/>
        </w:rPr>
        <w:t>乙方（供应商）：</w:t>
      </w:r>
    </w:p>
    <w:p>
      <w:pPr>
        <w:ind w:firstLine="420" w:firstLineChars="200"/>
        <w:rPr>
          <w:rFonts w:ascii="仿宋" w:hAnsi="仿宋" w:cs="宋体"/>
          <w:szCs w:val="21"/>
        </w:rPr>
      </w:pPr>
      <w:r>
        <w:rPr>
          <w:rFonts w:hint="eastAsia" w:ascii="仿宋" w:hAnsi="仿宋" w:cs="宋体"/>
          <w:szCs w:val="21"/>
        </w:rPr>
        <w:t>法定代表人：</w:t>
      </w:r>
    </w:p>
    <w:p>
      <w:pPr>
        <w:ind w:firstLine="420" w:firstLineChars="200"/>
        <w:rPr>
          <w:rFonts w:ascii="仿宋" w:hAnsi="仿宋" w:cs="宋体"/>
          <w:szCs w:val="21"/>
        </w:rPr>
      </w:pPr>
      <w:r>
        <w:rPr>
          <w:rFonts w:hint="eastAsia" w:ascii="仿宋" w:hAnsi="仿宋" w:cs="宋体"/>
          <w:szCs w:val="21"/>
        </w:rPr>
        <w:t>地址：</w:t>
      </w:r>
    </w:p>
    <w:p>
      <w:pPr>
        <w:ind w:firstLine="420" w:firstLineChars="200"/>
        <w:rPr>
          <w:rFonts w:hint="eastAsia" w:ascii="仿宋" w:hAnsi="仿宋" w:cs="宋体"/>
          <w:szCs w:val="21"/>
        </w:rPr>
      </w:pPr>
      <w:r>
        <w:rPr>
          <w:rFonts w:hint="eastAsia" w:ascii="仿宋" w:hAnsi="仿宋" w:cs="宋体"/>
          <w:szCs w:val="21"/>
        </w:rPr>
        <w:t>电话：</w:t>
      </w:r>
    </w:p>
    <w:p>
      <w:pPr>
        <w:pStyle w:val="2"/>
        <w:rPr>
          <w:rFonts w:hint="eastAsia"/>
          <w:sz w:val="21"/>
          <w:szCs w:val="21"/>
          <w:lang w:eastAsia="zh-CN"/>
        </w:rPr>
      </w:pPr>
    </w:p>
    <w:p>
      <w:pPr>
        <w:ind w:firstLine="420" w:firstLineChars="200"/>
        <w:rPr>
          <w:rFonts w:ascii="仿宋" w:hAnsi="仿宋" w:cs="宋体"/>
          <w:szCs w:val="21"/>
        </w:rPr>
      </w:pPr>
      <w:r>
        <w:rPr>
          <w:rFonts w:hint="eastAsia" w:ascii="仿宋" w:hAnsi="仿宋" w:cs="宋体"/>
          <w:szCs w:val="21"/>
        </w:rPr>
        <w:t>甲乙双方根据20</w:t>
      </w:r>
      <w:r>
        <w:rPr>
          <w:rFonts w:ascii="仿宋" w:hAnsi="仿宋"/>
          <w:szCs w:val="21"/>
        </w:rPr>
        <w:t>××</w:t>
      </w:r>
      <w:r>
        <w:rPr>
          <w:rFonts w:hint="eastAsia" w:ascii="仿宋" w:hAnsi="仿宋" w:cs="宋体"/>
          <w:szCs w:val="21"/>
        </w:rPr>
        <w:t>年</w:t>
      </w:r>
      <w:r>
        <w:rPr>
          <w:rFonts w:ascii="仿宋" w:hAnsi="仿宋"/>
          <w:szCs w:val="21"/>
        </w:rPr>
        <w:t>××</w:t>
      </w:r>
      <w:r>
        <w:rPr>
          <w:rFonts w:hint="eastAsia" w:ascii="仿宋" w:hAnsi="仿宋" w:cs="宋体"/>
          <w:szCs w:val="21"/>
        </w:rPr>
        <w:t>月</w:t>
      </w:r>
      <w:r>
        <w:rPr>
          <w:rFonts w:ascii="仿宋" w:hAnsi="仿宋"/>
          <w:szCs w:val="21"/>
        </w:rPr>
        <w:t>××</w:t>
      </w:r>
      <w:r>
        <w:rPr>
          <w:rFonts w:hint="eastAsia" w:ascii="仿宋" w:hAnsi="仿宋" w:cs="宋体"/>
          <w:szCs w:val="21"/>
        </w:rPr>
        <w:t>日（项目编号</w:t>
      </w:r>
      <w:r>
        <w:rPr>
          <w:rFonts w:hint="eastAsia" w:ascii="仿宋" w:hAnsi="仿宋" w:cs="宋体"/>
          <w:bCs/>
          <w:szCs w:val="21"/>
        </w:rPr>
        <w:t>：</w:t>
      </w:r>
      <w:r>
        <w:rPr>
          <w:rFonts w:ascii="仿宋" w:hAnsi="仿宋" w:cs="宋体"/>
          <w:szCs w:val="21"/>
          <w:u w:val="single"/>
        </w:rPr>
        <w:t xml:space="preserve">             </w:t>
      </w:r>
      <w:r>
        <w:rPr>
          <w:rFonts w:hint="eastAsia" w:ascii="仿宋" w:hAnsi="仿宋" w:cs="宋体"/>
          <w:szCs w:val="21"/>
        </w:rPr>
        <w:t>）招标的结果和“招标文件”的要求，并经双方协调一致，达成本购销合同：</w:t>
      </w:r>
    </w:p>
    <w:p>
      <w:pPr>
        <w:spacing w:after="62" w:afterLines="20"/>
        <w:ind w:firstLine="561"/>
        <w:jc w:val="left"/>
        <w:outlineLvl w:val="9"/>
        <w:rPr>
          <w:rFonts w:ascii="仿宋" w:hAnsi="仿宋" w:cs="宋体"/>
          <w:szCs w:val="21"/>
        </w:rPr>
      </w:pPr>
      <w:r>
        <w:rPr>
          <w:rFonts w:hint="eastAsia" w:ascii="仿宋" w:hAnsi="仿宋" w:cs="宋体"/>
          <w:szCs w:val="21"/>
        </w:rPr>
        <w:t>第一条  合同标的及价款</w:t>
      </w:r>
    </w:p>
    <w:tbl>
      <w:tblPr>
        <w:tblStyle w:val="4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701"/>
        <w:gridCol w:w="1188"/>
        <w:gridCol w:w="1200"/>
        <w:gridCol w:w="744"/>
        <w:gridCol w:w="757"/>
        <w:gridCol w:w="136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32" w:type="dxa"/>
            <w:vAlign w:val="center"/>
          </w:tcPr>
          <w:p>
            <w:pPr>
              <w:jc w:val="center"/>
              <w:outlineLvl w:val="9"/>
              <w:rPr>
                <w:rFonts w:ascii="仿宋" w:hAnsi="仿宋" w:cs="宋体"/>
                <w:szCs w:val="21"/>
              </w:rPr>
            </w:pPr>
            <w:r>
              <w:rPr>
                <w:rFonts w:hint="eastAsia" w:ascii="仿宋" w:hAnsi="仿宋" w:cs="宋体"/>
                <w:szCs w:val="21"/>
              </w:rPr>
              <w:t>序号</w:t>
            </w:r>
          </w:p>
        </w:tc>
        <w:tc>
          <w:tcPr>
            <w:tcW w:w="1701" w:type="dxa"/>
            <w:vAlign w:val="center"/>
          </w:tcPr>
          <w:p>
            <w:pPr>
              <w:jc w:val="center"/>
              <w:outlineLvl w:val="9"/>
              <w:rPr>
                <w:rFonts w:ascii="仿宋" w:hAnsi="仿宋" w:cs="宋体"/>
                <w:szCs w:val="21"/>
              </w:rPr>
            </w:pPr>
            <w:r>
              <w:rPr>
                <w:rFonts w:hint="eastAsia" w:ascii="仿宋" w:hAnsi="仿宋" w:cs="宋体"/>
                <w:szCs w:val="21"/>
              </w:rPr>
              <w:t>设备名称</w:t>
            </w:r>
          </w:p>
        </w:tc>
        <w:tc>
          <w:tcPr>
            <w:tcW w:w="1188" w:type="dxa"/>
            <w:vAlign w:val="center"/>
          </w:tcPr>
          <w:p>
            <w:pPr>
              <w:jc w:val="center"/>
              <w:outlineLvl w:val="9"/>
              <w:rPr>
                <w:rFonts w:ascii="仿宋" w:hAnsi="仿宋" w:cs="宋体"/>
                <w:szCs w:val="21"/>
              </w:rPr>
            </w:pPr>
            <w:r>
              <w:rPr>
                <w:rFonts w:hint="eastAsia" w:ascii="仿宋" w:hAnsi="仿宋" w:cs="宋体"/>
                <w:szCs w:val="21"/>
              </w:rPr>
              <w:t>规格型号</w:t>
            </w:r>
          </w:p>
        </w:tc>
        <w:tc>
          <w:tcPr>
            <w:tcW w:w="1200" w:type="dxa"/>
            <w:vAlign w:val="center"/>
          </w:tcPr>
          <w:p>
            <w:pPr>
              <w:jc w:val="center"/>
              <w:outlineLvl w:val="9"/>
              <w:rPr>
                <w:rFonts w:ascii="仿宋" w:hAnsi="仿宋" w:cs="宋体"/>
                <w:szCs w:val="21"/>
              </w:rPr>
            </w:pPr>
            <w:r>
              <w:rPr>
                <w:rFonts w:hint="eastAsia" w:ascii="仿宋" w:hAnsi="仿宋" w:cs="宋体"/>
                <w:szCs w:val="21"/>
              </w:rPr>
              <w:t>产地/品牌</w:t>
            </w:r>
          </w:p>
        </w:tc>
        <w:tc>
          <w:tcPr>
            <w:tcW w:w="744" w:type="dxa"/>
            <w:vAlign w:val="center"/>
          </w:tcPr>
          <w:p>
            <w:pPr>
              <w:jc w:val="center"/>
              <w:outlineLvl w:val="9"/>
              <w:rPr>
                <w:rFonts w:ascii="仿宋" w:hAnsi="仿宋" w:cs="宋体"/>
                <w:szCs w:val="21"/>
              </w:rPr>
            </w:pPr>
            <w:r>
              <w:rPr>
                <w:rFonts w:hint="eastAsia" w:ascii="仿宋" w:hAnsi="仿宋" w:cs="宋体"/>
                <w:szCs w:val="21"/>
              </w:rPr>
              <w:t>单位</w:t>
            </w:r>
          </w:p>
        </w:tc>
        <w:tc>
          <w:tcPr>
            <w:tcW w:w="757" w:type="dxa"/>
            <w:vAlign w:val="center"/>
          </w:tcPr>
          <w:p>
            <w:pPr>
              <w:jc w:val="center"/>
              <w:outlineLvl w:val="9"/>
              <w:rPr>
                <w:rFonts w:ascii="仿宋" w:hAnsi="仿宋" w:cs="宋体"/>
                <w:szCs w:val="21"/>
              </w:rPr>
            </w:pPr>
            <w:r>
              <w:rPr>
                <w:rFonts w:hint="eastAsia" w:ascii="仿宋" w:hAnsi="仿宋" w:cs="宋体"/>
                <w:szCs w:val="21"/>
              </w:rPr>
              <w:t>数量</w:t>
            </w:r>
          </w:p>
        </w:tc>
        <w:tc>
          <w:tcPr>
            <w:tcW w:w="1367" w:type="dxa"/>
            <w:vAlign w:val="center"/>
          </w:tcPr>
          <w:p>
            <w:pPr>
              <w:jc w:val="center"/>
              <w:outlineLvl w:val="9"/>
              <w:rPr>
                <w:rFonts w:ascii="仿宋" w:hAnsi="仿宋" w:cs="宋体"/>
                <w:szCs w:val="21"/>
              </w:rPr>
            </w:pPr>
            <w:r>
              <w:rPr>
                <w:rFonts w:hint="eastAsia" w:ascii="仿宋" w:hAnsi="仿宋" w:cs="宋体"/>
                <w:szCs w:val="21"/>
              </w:rPr>
              <w:t>单价（元）</w:t>
            </w:r>
          </w:p>
        </w:tc>
        <w:tc>
          <w:tcPr>
            <w:tcW w:w="1482" w:type="dxa"/>
            <w:vAlign w:val="center"/>
          </w:tcPr>
          <w:p>
            <w:pPr>
              <w:jc w:val="center"/>
              <w:outlineLvl w:val="9"/>
              <w:rPr>
                <w:rFonts w:ascii="仿宋" w:hAnsi="仿宋" w:cs="宋体"/>
                <w:szCs w:val="21"/>
              </w:rPr>
            </w:pPr>
            <w:r>
              <w:rPr>
                <w:rFonts w:hint="eastAsia" w:ascii="仿宋" w:hAnsi="仿宋" w:cs="宋体"/>
                <w:szCs w:val="21"/>
              </w:rPr>
              <w:t>总额（元）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2" w:type="dxa"/>
            <w:vAlign w:val="center"/>
          </w:tcPr>
          <w:p>
            <w:pPr>
              <w:jc w:val="center"/>
              <w:outlineLvl w:val="9"/>
              <w:rPr>
                <w:rFonts w:ascii="仿宋" w:hAnsi="仿宋" w:cs="宋体"/>
                <w:kern w:val="0"/>
                <w:szCs w:val="21"/>
              </w:rPr>
            </w:pPr>
            <w:r>
              <w:rPr>
                <w:rFonts w:hint="eastAsia" w:ascii="仿宋" w:hAnsi="仿宋" w:cs="宋体"/>
                <w:kern w:val="0"/>
                <w:szCs w:val="21"/>
              </w:rPr>
              <w:t>1</w:t>
            </w:r>
          </w:p>
        </w:tc>
        <w:tc>
          <w:tcPr>
            <w:tcW w:w="1701" w:type="dxa"/>
            <w:vAlign w:val="center"/>
          </w:tcPr>
          <w:p>
            <w:pPr>
              <w:widowControl/>
              <w:jc w:val="center"/>
              <w:outlineLvl w:val="9"/>
              <w:rPr>
                <w:rFonts w:ascii="仿宋" w:hAnsi="仿宋"/>
                <w:szCs w:val="21"/>
              </w:rPr>
            </w:pPr>
          </w:p>
        </w:tc>
        <w:tc>
          <w:tcPr>
            <w:tcW w:w="1188" w:type="dxa"/>
            <w:vAlign w:val="center"/>
          </w:tcPr>
          <w:p>
            <w:pPr>
              <w:jc w:val="center"/>
              <w:outlineLvl w:val="9"/>
              <w:rPr>
                <w:rFonts w:ascii="仿宋" w:hAnsi="仿宋"/>
                <w:szCs w:val="21"/>
              </w:rPr>
            </w:pPr>
          </w:p>
        </w:tc>
        <w:tc>
          <w:tcPr>
            <w:tcW w:w="1200" w:type="dxa"/>
            <w:vAlign w:val="center"/>
          </w:tcPr>
          <w:p>
            <w:pPr>
              <w:widowControl/>
              <w:outlineLvl w:val="9"/>
              <w:rPr>
                <w:rFonts w:ascii="仿宋" w:hAnsi="仿宋"/>
                <w:kern w:val="0"/>
                <w:szCs w:val="21"/>
              </w:rPr>
            </w:pPr>
          </w:p>
        </w:tc>
        <w:tc>
          <w:tcPr>
            <w:tcW w:w="744" w:type="dxa"/>
            <w:vAlign w:val="center"/>
          </w:tcPr>
          <w:p>
            <w:pPr>
              <w:jc w:val="center"/>
              <w:outlineLvl w:val="9"/>
              <w:rPr>
                <w:rFonts w:ascii="仿宋" w:hAnsi="仿宋"/>
                <w:szCs w:val="21"/>
              </w:rPr>
            </w:pPr>
            <w:r>
              <w:rPr>
                <w:rFonts w:hint="eastAsia" w:ascii="仿宋" w:hAnsi="仿宋"/>
                <w:szCs w:val="21"/>
              </w:rPr>
              <w:t>套</w:t>
            </w:r>
          </w:p>
        </w:tc>
        <w:tc>
          <w:tcPr>
            <w:tcW w:w="757" w:type="dxa"/>
            <w:vAlign w:val="center"/>
          </w:tcPr>
          <w:p>
            <w:pPr>
              <w:jc w:val="center"/>
              <w:outlineLvl w:val="9"/>
              <w:rPr>
                <w:rFonts w:ascii="仿宋" w:hAnsi="仿宋"/>
                <w:szCs w:val="21"/>
              </w:rPr>
            </w:pPr>
          </w:p>
        </w:tc>
        <w:tc>
          <w:tcPr>
            <w:tcW w:w="1367" w:type="dxa"/>
            <w:vAlign w:val="center"/>
          </w:tcPr>
          <w:p>
            <w:pPr>
              <w:widowControl/>
              <w:jc w:val="center"/>
              <w:outlineLvl w:val="9"/>
              <w:rPr>
                <w:rFonts w:ascii="仿宋" w:hAnsi="仿宋"/>
                <w:kern w:val="0"/>
                <w:szCs w:val="21"/>
              </w:rPr>
            </w:pPr>
          </w:p>
        </w:tc>
        <w:tc>
          <w:tcPr>
            <w:tcW w:w="1482" w:type="dxa"/>
            <w:vAlign w:val="center"/>
          </w:tcPr>
          <w:p>
            <w:pPr>
              <w:widowControl/>
              <w:jc w:val="center"/>
              <w:outlineLvl w:val="9"/>
              <w:rPr>
                <w:rFonts w:ascii="仿宋"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2" w:type="dxa"/>
            <w:vAlign w:val="center"/>
          </w:tcPr>
          <w:p>
            <w:pPr>
              <w:jc w:val="center"/>
              <w:outlineLvl w:val="9"/>
              <w:rPr>
                <w:rFonts w:ascii="仿宋" w:hAnsi="仿宋" w:cs="宋体"/>
                <w:kern w:val="0"/>
                <w:szCs w:val="21"/>
              </w:rPr>
            </w:pPr>
            <w:r>
              <w:rPr>
                <w:rFonts w:hint="eastAsia" w:ascii="仿宋" w:hAnsi="仿宋" w:cs="宋体"/>
                <w:kern w:val="0"/>
                <w:szCs w:val="21"/>
              </w:rPr>
              <w:t>2</w:t>
            </w:r>
          </w:p>
        </w:tc>
        <w:tc>
          <w:tcPr>
            <w:tcW w:w="1701" w:type="dxa"/>
            <w:vAlign w:val="center"/>
          </w:tcPr>
          <w:p>
            <w:pPr>
              <w:jc w:val="center"/>
              <w:outlineLvl w:val="9"/>
              <w:rPr>
                <w:rFonts w:ascii="仿宋" w:hAnsi="仿宋"/>
                <w:snapToGrid w:val="0"/>
                <w:kern w:val="0"/>
                <w:szCs w:val="21"/>
              </w:rPr>
            </w:pPr>
          </w:p>
        </w:tc>
        <w:tc>
          <w:tcPr>
            <w:tcW w:w="1188" w:type="dxa"/>
            <w:vAlign w:val="center"/>
          </w:tcPr>
          <w:p>
            <w:pPr>
              <w:jc w:val="center"/>
              <w:outlineLvl w:val="9"/>
              <w:rPr>
                <w:rFonts w:ascii="仿宋" w:hAnsi="仿宋" w:cs="宋体"/>
                <w:szCs w:val="21"/>
              </w:rPr>
            </w:pPr>
          </w:p>
        </w:tc>
        <w:tc>
          <w:tcPr>
            <w:tcW w:w="1200" w:type="dxa"/>
            <w:vAlign w:val="center"/>
          </w:tcPr>
          <w:p>
            <w:pPr>
              <w:outlineLvl w:val="9"/>
              <w:rPr>
                <w:rFonts w:ascii="仿宋" w:hAnsi="仿宋"/>
                <w:snapToGrid w:val="0"/>
                <w:kern w:val="0"/>
                <w:szCs w:val="21"/>
              </w:rPr>
            </w:pPr>
          </w:p>
        </w:tc>
        <w:tc>
          <w:tcPr>
            <w:tcW w:w="744" w:type="dxa"/>
            <w:vAlign w:val="center"/>
          </w:tcPr>
          <w:p>
            <w:pPr>
              <w:jc w:val="center"/>
              <w:outlineLvl w:val="9"/>
              <w:rPr>
                <w:rFonts w:ascii="仿宋" w:hAnsi="仿宋"/>
                <w:szCs w:val="21"/>
              </w:rPr>
            </w:pPr>
            <w:r>
              <w:rPr>
                <w:rFonts w:hint="eastAsia" w:ascii="仿宋" w:hAnsi="仿宋"/>
                <w:szCs w:val="21"/>
              </w:rPr>
              <w:t>套</w:t>
            </w:r>
          </w:p>
        </w:tc>
        <w:tc>
          <w:tcPr>
            <w:tcW w:w="757" w:type="dxa"/>
            <w:vAlign w:val="center"/>
          </w:tcPr>
          <w:p>
            <w:pPr>
              <w:jc w:val="center"/>
              <w:outlineLvl w:val="9"/>
              <w:rPr>
                <w:rFonts w:ascii="仿宋" w:hAnsi="仿宋"/>
                <w:szCs w:val="21"/>
              </w:rPr>
            </w:pPr>
          </w:p>
        </w:tc>
        <w:tc>
          <w:tcPr>
            <w:tcW w:w="1367" w:type="dxa"/>
            <w:vAlign w:val="center"/>
          </w:tcPr>
          <w:p>
            <w:pPr>
              <w:widowControl/>
              <w:jc w:val="center"/>
              <w:outlineLvl w:val="9"/>
              <w:rPr>
                <w:rFonts w:ascii="仿宋" w:hAnsi="仿宋" w:cs="宋体"/>
                <w:kern w:val="0"/>
                <w:szCs w:val="21"/>
              </w:rPr>
            </w:pPr>
          </w:p>
        </w:tc>
        <w:tc>
          <w:tcPr>
            <w:tcW w:w="1482" w:type="dxa"/>
            <w:vAlign w:val="center"/>
          </w:tcPr>
          <w:p>
            <w:pPr>
              <w:widowControl/>
              <w:jc w:val="center"/>
              <w:outlineLvl w:val="9"/>
              <w:rPr>
                <w:rFonts w:ascii="仿宋" w:hAnsi="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71" w:type="dxa"/>
            <w:gridSpan w:val="8"/>
            <w:vAlign w:val="center"/>
          </w:tcPr>
          <w:p>
            <w:pPr>
              <w:outlineLvl w:val="9"/>
              <w:rPr>
                <w:rFonts w:ascii="仿宋" w:hAnsi="仿宋"/>
                <w:snapToGrid w:val="0"/>
                <w:kern w:val="0"/>
                <w:szCs w:val="21"/>
              </w:rPr>
            </w:pPr>
            <w:r>
              <w:rPr>
                <w:rFonts w:hint="eastAsia" w:ascii="仿宋" w:hAnsi="仿宋" w:cs="宋体"/>
                <w:bCs/>
                <w:kern w:val="0"/>
                <w:szCs w:val="21"/>
              </w:rPr>
              <w:t xml:space="preserve">金额合计: 人民币    </w:t>
            </w:r>
            <w:r>
              <w:rPr>
                <w:rFonts w:hint="eastAsia" w:ascii="仿宋" w:hAnsi="仿宋"/>
                <w:snapToGrid w:val="0"/>
                <w:kern w:val="0"/>
                <w:szCs w:val="21"/>
              </w:rPr>
              <w:t>元整</w:t>
            </w:r>
            <w:r>
              <w:rPr>
                <w:rFonts w:hint="eastAsia" w:ascii="仿宋" w:hAnsi="仿宋" w:cs="宋体"/>
                <w:bCs/>
                <w:kern w:val="0"/>
                <w:szCs w:val="21"/>
              </w:rPr>
              <w:t xml:space="preserve">   小写：￥     </w:t>
            </w:r>
            <w:r>
              <w:rPr>
                <w:rFonts w:ascii="仿宋" w:hAnsi="仿宋" w:cs="宋体"/>
                <w:bCs/>
                <w:kern w:val="0"/>
                <w:szCs w:val="21"/>
              </w:rPr>
              <w:t xml:space="preserve"> </w:t>
            </w:r>
            <w:r>
              <w:rPr>
                <w:rFonts w:hint="eastAsia" w:ascii="仿宋" w:hAnsi="仿宋" w:cs="宋体"/>
                <w:bCs/>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071" w:type="dxa"/>
            <w:gridSpan w:val="8"/>
            <w:vAlign w:val="center"/>
          </w:tcPr>
          <w:p>
            <w:pPr>
              <w:jc w:val="left"/>
              <w:outlineLvl w:val="9"/>
              <w:rPr>
                <w:rFonts w:ascii="仿宋" w:hAnsi="仿宋" w:cs="宋体"/>
                <w:szCs w:val="21"/>
              </w:rPr>
            </w:pPr>
            <w:r>
              <w:rPr>
                <w:rFonts w:hint="eastAsia" w:ascii="仿宋" w:hAnsi="仿宋" w:cs="宋体"/>
                <w:kern w:val="0"/>
                <w:szCs w:val="21"/>
              </w:rPr>
              <w:t>备注：配置清单详见附件</w:t>
            </w:r>
          </w:p>
        </w:tc>
      </w:tr>
    </w:tbl>
    <w:p>
      <w:pPr>
        <w:ind w:firstLine="420" w:firstLineChars="200"/>
        <w:outlineLvl w:val="9"/>
        <w:rPr>
          <w:rFonts w:ascii="仿宋" w:hAnsi="仿宋" w:cs="宋体"/>
          <w:szCs w:val="21"/>
        </w:rPr>
      </w:pPr>
      <w:r>
        <w:rPr>
          <w:rFonts w:hint="eastAsia" w:ascii="仿宋" w:hAnsi="仿宋" w:cs="宋体"/>
          <w:szCs w:val="21"/>
        </w:rPr>
        <w:t>本合同以人民币进行结算，该价格为深圳工地价。</w:t>
      </w:r>
    </w:p>
    <w:p>
      <w:pPr>
        <w:ind w:firstLine="420" w:firstLineChars="200"/>
        <w:jc w:val="left"/>
        <w:outlineLvl w:val="9"/>
        <w:rPr>
          <w:rFonts w:ascii="仿宋" w:hAnsi="仿宋" w:cs="宋体"/>
          <w:szCs w:val="21"/>
        </w:rPr>
      </w:pPr>
      <w:r>
        <w:rPr>
          <w:rFonts w:hint="eastAsia" w:ascii="仿宋" w:hAnsi="仿宋" w:cs="宋体"/>
          <w:szCs w:val="21"/>
        </w:rPr>
        <w:t>第二条  设备质量要求及供方对质量负责条件和期限</w:t>
      </w:r>
    </w:p>
    <w:p>
      <w:pPr>
        <w:ind w:firstLine="480"/>
        <w:outlineLvl w:val="9"/>
        <w:rPr>
          <w:rFonts w:hint="eastAsia" w:ascii="仿宋" w:hAnsi="仿宋" w:cs="宋体"/>
          <w:szCs w:val="21"/>
        </w:rPr>
      </w:pPr>
      <w:r>
        <w:rPr>
          <w:rFonts w:hint="eastAsia" w:ascii="仿宋" w:hAnsi="仿宋" w:cs="宋体"/>
          <w:szCs w:val="21"/>
        </w:rPr>
        <w:t>质量要求：乙方提供的设备（包括零部件）必须是全新的、未使用过的设备，必须符合招投标文件要求（招投标文件中未作明确要求而相关国家标准、地方标准或行业标准中有要求的，应当符合三者中最高的标准），并具有有关质检部门出具的产品检验合格证明。</w:t>
      </w:r>
    </w:p>
    <w:p>
      <w:pPr>
        <w:ind w:firstLine="420" w:firstLineChars="200"/>
        <w:outlineLvl w:val="9"/>
        <w:rPr>
          <w:rFonts w:ascii="仿宋" w:hAnsi="仿宋" w:cs="宋体"/>
          <w:szCs w:val="21"/>
        </w:rPr>
      </w:pPr>
      <w:r>
        <w:rPr>
          <w:rFonts w:hint="eastAsia" w:ascii="仿宋" w:hAnsi="仿宋" w:cs="宋体"/>
          <w:szCs w:val="21"/>
        </w:rPr>
        <w:t>如设备安装或配置了软件的，乙方保证相关软件均为正版软件。</w:t>
      </w:r>
    </w:p>
    <w:p>
      <w:pPr>
        <w:ind w:firstLine="420" w:firstLineChars="200"/>
        <w:jc w:val="left"/>
        <w:outlineLvl w:val="9"/>
        <w:rPr>
          <w:rFonts w:hint="eastAsia" w:ascii="仿宋" w:hAnsi="仿宋" w:cs="宋体"/>
          <w:szCs w:val="21"/>
        </w:rPr>
      </w:pPr>
      <w:r>
        <w:rPr>
          <w:rFonts w:hint="eastAsia" w:ascii="仿宋" w:hAnsi="仿宋" w:cs="宋体"/>
          <w:szCs w:val="21"/>
        </w:rPr>
        <w:t>保修期限：乙方对所提供的产品设备主机提供</w:t>
      </w:r>
      <w:r>
        <w:rPr>
          <w:rFonts w:hint="eastAsia" w:ascii="仿宋" w:hAnsi="仿宋" w:cs="宋体"/>
          <w:szCs w:val="21"/>
          <w:u w:val="single"/>
        </w:rPr>
        <w:t xml:space="preserve">   </w:t>
      </w:r>
      <w:r>
        <w:rPr>
          <w:rFonts w:hint="eastAsia" w:ascii="仿宋" w:hAnsi="仿宋" w:cs="宋体"/>
          <w:szCs w:val="21"/>
        </w:rPr>
        <w:t>年的保修期（免费质保期），其它配件保修期</w:t>
      </w:r>
      <w:r>
        <w:rPr>
          <w:rFonts w:hint="eastAsia" w:ascii="仿宋" w:hAnsi="仿宋" w:cs="宋体"/>
          <w:szCs w:val="21"/>
          <w:u w:val="single"/>
        </w:rPr>
        <w:t xml:space="preserve">   </w:t>
      </w:r>
      <w:r>
        <w:rPr>
          <w:rFonts w:hint="eastAsia" w:ascii="仿宋" w:hAnsi="仿宋" w:cs="宋体"/>
          <w:szCs w:val="21"/>
        </w:rPr>
        <w:t>年，自双方代表签署“性能验收报告”之日起计算。保修期内非因甲方的人为原因而出现质量问题，由乙方负责。乙方负责包修、包换或者包退，并承担修理、调换或退货的实际费用。乙方不能修理或不能调换，按不能交货处理。</w:t>
      </w:r>
    </w:p>
    <w:p>
      <w:pPr>
        <w:ind w:firstLine="420" w:firstLineChars="200"/>
        <w:jc w:val="left"/>
        <w:outlineLvl w:val="9"/>
        <w:rPr>
          <w:rFonts w:ascii="仿宋" w:hAnsi="仿宋" w:cs="宋体"/>
          <w:szCs w:val="21"/>
        </w:rPr>
      </w:pPr>
      <w:r>
        <w:rPr>
          <w:rFonts w:hint="eastAsia" w:ascii="仿宋" w:hAnsi="仿宋" w:cs="宋体"/>
          <w:szCs w:val="21"/>
        </w:rPr>
        <w:t>第三条  交货和验收</w:t>
      </w:r>
    </w:p>
    <w:p>
      <w:pPr>
        <w:ind w:firstLine="420" w:firstLineChars="200"/>
        <w:jc w:val="left"/>
        <w:outlineLvl w:val="9"/>
        <w:rPr>
          <w:rFonts w:ascii="仿宋" w:hAnsi="仿宋" w:cs="宋体"/>
          <w:szCs w:val="21"/>
        </w:rPr>
      </w:pPr>
      <w:r>
        <w:rPr>
          <w:rFonts w:hint="eastAsia" w:ascii="仿宋" w:hAnsi="仿宋" w:cs="宋体"/>
          <w:szCs w:val="21"/>
        </w:rPr>
        <w:t>1.交货期：签订合同后</w:t>
      </w:r>
      <w:r>
        <w:rPr>
          <w:rFonts w:hint="eastAsia" w:ascii="仿宋" w:hAnsi="仿宋" w:cs="宋体"/>
          <w:szCs w:val="21"/>
          <w:u w:val="single"/>
        </w:rPr>
        <w:t xml:space="preserve">    </w:t>
      </w:r>
      <w:r>
        <w:rPr>
          <w:rFonts w:hint="eastAsia" w:ascii="仿宋" w:hAnsi="仿宋" w:cs="宋体"/>
          <w:szCs w:val="21"/>
        </w:rPr>
        <w:t>天（日历日）内交货。</w:t>
      </w:r>
    </w:p>
    <w:p>
      <w:pPr>
        <w:ind w:firstLine="420" w:firstLineChars="200"/>
        <w:jc w:val="left"/>
        <w:outlineLvl w:val="9"/>
        <w:rPr>
          <w:rFonts w:ascii="仿宋" w:hAnsi="仿宋" w:cs="宋体"/>
          <w:szCs w:val="21"/>
        </w:rPr>
      </w:pPr>
      <w:r>
        <w:rPr>
          <w:rFonts w:hint="eastAsia" w:ascii="仿宋" w:hAnsi="仿宋" w:cs="宋体"/>
          <w:szCs w:val="21"/>
        </w:rPr>
        <w:t>2.交货地点：由甲方指定交货地点，乙方在设备送达前一日通知甲方，甲方同意后，乙方按时送货、安装并调试。交货过程中产生的一切风险、费用由乙方承担。</w:t>
      </w:r>
    </w:p>
    <w:p>
      <w:pPr>
        <w:ind w:firstLine="420" w:firstLineChars="200"/>
        <w:outlineLvl w:val="9"/>
        <w:rPr>
          <w:rFonts w:ascii="仿宋" w:hAnsi="仿宋" w:cs="宋体"/>
          <w:szCs w:val="21"/>
        </w:rPr>
      </w:pPr>
      <w:r>
        <w:rPr>
          <w:rFonts w:hint="eastAsia" w:ascii="仿宋" w:hAnsi="仿宋" w:cs="宋体"/>
          <w:szCs w:val="21"/>
        </w:rPr>
        <w:t>3.初步验收：设备送达甲方指定地点后，甲乙双方进行初步货物验收，乙方因自身原因不能到场参与验收，则视同全权委托甲方验收。如果发现外观、数量或规格型号等存在问题，乙方应在接到甲方通知后</w:t>
      </w:r>
      <w:r>
        <w:rPr>
          <w:rFonts w:hint="eastAsia" w:ascii="仿宋" w:hAnsi="仿宋" w:cs="宋体"/>
          <w:szCs w:val="21"/>
          <w:u w:val="single"/>
        </w:rPr>
        <w:t xml:space="preserve">    </w:t>
      </w:r>
      <w:r>
        <w:rPr>
          <w:rFonts w:hint="eastAsia" w:ascii="仿宋" w:hAnsi="仿宋" w:cs="宋体"/>
          <w:szCs w:val="21"/>
        </w:rPr>
        <w:t>天（日历日）内，按甲方要求，采取补足、更换或退货等处理措施，并承担由此发生的一切损失和费用。</w:t>
      </w:r>
    </w:p>
    <w:p>
      <w:pPr>
        <w:ind w:firstLine="420" w:firstLineChars="200"/>
        <w:outlineLvl w:val="9"/>
        <w:rPr>
          <w:rFonts w:ascii="仿宋" w:hAnsi="仿宋" w:cs="宋体"/>
          <w:szCs w:val="21"/>
        </w:rPr>
      </w:pPr>
      <w:r>
        <w:rPr>
          <w:rFonts w:hint="eastAsia" w:ascii="仿宋" w:hAnsi="仿宋" w:cs="宋体"/>
          <w:szCs w:val="21"/>
        </w:rPr>
        <w:t>4.性能验收：甲乙双方在全部设备运抵并安装调试完成，正常运转后的</w:t>
      </w:r>
      <w:r>
        <w:rPr>
          <w:rFonts w:hint="eastAsia" w:ascii="仿宋" w:hAnsi="仿宋" w:cs="宋体"/>
          <w:szCs w:val="21"/>
          <w:u w:val="single"/>
        </w:rPr>
        <w:t xml:space="preserve">    </w:t>
      </w:r>
      <w:r>
        <w:rPr>
          <w:rFonts w:hint="eastAsia" w:ascii="仿宋" w:hAnsi="仿宋" w:cs="宋体"/>
          <w:szCs w:val="21"/>
        </w:rPr>
        <w:t>个日历日内对设备进行性能验收。如果设备性能存在问题，乙方应按甲方要求，采取更换或退货等处理措施，并承担由此发生的一切损失和费用。对于7个日历日内未发现的隐蔽质量瑕疵，若在保修期内发现的，甲方除有权要求乙方采取修理、更换或退货等处理措施并赔偿甲方因此遭受的经济损失外，还有权要求延长保修期（针对修理设备的情形）或重新计算保修期（针对更换设备的情形）。</w:t>
      </w:r>
    </w:p>
    <w:p>
      <w:pPr>
        <w:ind w:firstLine="420" w:firstLineChars="200"/>
        <w:outlineLvl w:val="9"/>
        <w:rPr>
          <w:rFonts w:ascii="仿宋" w:hAnsi="仿宋" w:cs="宋体"/>
          <w:szCs w:val="21"/>
        </w:rPr>
      </w:pPr>
      <w:r>
        <w:rPr>
          <w:rFonts w:hint="eastAsia" w:ascii="仿宋" w:hAnsi="仿宋" w:cs="宋体"/>
          <w:szCs w:val="21"/>
        </w:rPr>
        <w:t>5.验收标准及方法如下：</w:t>
      </w:r>
    </w:p>
    <w:p>
      <w:pPr>
        <w:ind w:firstLine="420" w:firstLineChars="200"/>
        <w:outlineLvl w:val="9"/>
        <w:rPr>
          <w:rFonts w:ascii="仿宋" w:hAnsi="仿宋" w:cs="宋体"/>
          <w:szCs w:val="21"/>
        </w:rPr>
      </w:pPr>
      <w:r>
        <w:rPr>
          <w:rFonts w:hint="eastAsia" w:ascii="仿宋" w:hAnsi="仿宋" w:cs="宋体"/>
          <w:szCs w:val="21"/>
        </w:rPr>
        <w:t xml:space="preserve">（1）合同、招投标文件及国家有关质检标准，作为验收标准。 </w:t>
      </w:r>
    </w:p>
    <w:p>
      <w:pPr>
        <w:ind w:firstLine="420" w:firstLineChars="200"/>
        <w:outlineLvl w:val="9"/>
        <w:rPr>
          <w:rFonts w:ascii="仿宋" w:hAnsi="仿宋" w:cs="宋体"/>
          <w:szCs w:val="21"/>
        </w:rPr>
      </w:pPr>
      <w:r>
        <w:rPr>
          <w:rFonts w:hint="eastAsia" w:ascii="仿宋" w:hAnsi="仿宋" w:cs="宋体"/>
          <w:szCs w:val="21"/>
        </w:rPr>
        <w:t>（2）甲乙双方授权代表共同完成性能验收，并在验收报告上签字。</w:t>
      </w:r>
    </w:p>
    <w:p>
      <w:pPr>
        <w:ind w:firstLine="420" w:firstLineChars="200"/>
        <w:outlineLvl w:val="9"/>
        <w:rPr>
          <w:rFonts w:ascii="仿宋" w:hAnsi="仿宋" w:cs="宋体"/>
          <w:szCs w:val="21"/>
        </w:rPr>
      </w:pPr>
      <w:r>
        <w:rPr>
          <w:rFonts w:hint="eastAsia" w:ascii="仿宋" w:hAnsi="仿宋" w:cs="宋体"/>
          <w:szCs w:val="21"/>
        </w:rPr>
        <w:t>（3）性能验收报告签发之日开始启保。</w:t>
      </w:r>
    </w:p>
    <w:p>
      <w:pPr>
        <w:ind w:firstLine="420" w:firstLineChars="200"/>
        <w:jc w:val="left"/>
        <w:outlineLvl w:val="9"/>
        <w:rPr>
          <w:rFonts w:ascii="仿宋" w:hAnsi="仿宋" w:cs="宋体"/>
          <w:szCs w:val="21"/>
        </w:rPr>
      </w:pPr>
      <w:r>
        <w:rPr>
          <w:rFonts w:hint="eastAsia" w:ascii="仿宋" w:hAnsi="仿宋" w:cs="宋体"/>
          <w:szCs w:val="21"/>
        </w:rPr>
        <w:t>第四条  其他要求</w:t>
      </w:r>
    </w:p>
    <w:p>
      <w:pPr>
        <w:ind w:firstLine="420" w:firstLineChars="200"/>
        <w:outlineLvl w:val="9"/>
        <w:rPr>
          <w:rFonts w:ascii="仿宋" w:hAnsi="仿宋" w:cs="宋体"/>
          <w:szCs w:val="21"/>
        </w:rPr>
      </w:pPr>
      <w:r>
        <w:rPr>
          <w:rFonts w:hint="eastAsia" w:ascii="仿宋" w:hAnsi="仿宋" w:cs="宋体"/>
          <w:szCs w:val="21"/>
        </w:rPr>
        <w:t>1.甲乙双方进行初步货物验收时，乙方须提供设备的技术文件，包括使用说明书（中英文）、维修手册、质量保证文件（合格证）、国家食品药品监督管理局或省有关部门颁发的医疗器械注册证明文件等。进口设备须提供报关、完税和商检等证明文件。</w:t>
      </w:r>
    </w:p>
    <w:p>
      <w:pPr>
        <w:ind w:firstLine="420" w:firstLineChars="200"/>
        <w:outlineLvl w:val="9"/>
        <w:rPr>
          <w:rFonts w:ascii="仿宋" w:hAnsi="仿宋" w:cs="宋体"/>
          <w:szCs w:val="21"/>
        </w:rPr>
      </w:pPr>
      <w:r>
        <w:rPr>
          <w:rFonts w:hint="eastAsia" w:ascii="仿宋" w:hAnsi="仿宋" w:cs="宋体"/>
          <w:szCs w:val="21"/>
        </w:rPr>
        <w:t>2.乙方须提供设备安装和维修所需的专用工具等。乙方应派专业技术人员对甲方或设备使用单位临床操作人员进行专业的培训及指导，并对甲方或设备使用单位维修工程师进行免费维护、维修培训；乙方由此产生的差旅费等费用由乙方自行承担。</w:t>
      </w:r>
    </w:p>
    <w:p>
      <w:pPr>
        <w:ind w:firstLine="420" w:firstLineChars="200"/>
        <w:outlineLvl w:val="9"/>
        <w:rPr>
          <w:rFonts w:ascii="仿宋" w:hAnsi="仿宋" w:cs="宋体"/>
          <w:szCs w:val="21"/>
        </w:rPr>
      </w:pPr>
      <w:r>
        <w:rPr>
          <w:rFonts w:hint="eastAsia" w:ascii="仿宋" w:hAnsi="仿宋" w:cs="宋体"/>
          <w:szCs w:val="21"/>
        </w:rPr>
        <w:t>3.乙方负责设备包装物的清理，保持设备安装现场的整洁。</w:t>
      </w:r>
    </w:p>
    <w:p>
      <w:pPr>
        <w:ind w:firstLine="420" w:firstLineChars="200"/>
        <w:jc w:val="left"/>
        <w:outlineLvl w:val="9"/>
        <w:rPr>
          <w:rFonts w:ascii="仿宋" w:hAnsi="仿宋" w:cs="宋体"/>
          <w:szCs w:val="21"/>
        </w:rPr>
      </w:pPr>
      <w:r>
        <w:rPr>
          <w:rFonts w:hint="eastAsia" w:ascii="仿宋" w:hAnsi="仿宋" w:cs="宋体"/>
          <w:szCs w:val="21"/>
        </w:rPr>
        <w:t>第五条  售后服务</w:t>
      </w:r>
    </w:p>
    <w:p>
      <w:pPr>
        <w:ind w:firstLine="420" w:firstLineChars="200"/>
        <w:outlineLvl w:val="9"/>
        <w:rPr>
          <w:rFonts w:ascii="仿宋" w:hAnsi="仿宋" w:cs="宋体"/>
          <w:szCs w:val="21"/>
        </w:rPr>
      </w:pPr>
      <w:r>
        <w:rPr>
          <w:rFonts w:hint="eastAsia" w:ascii="仿宋" w:hAnsi="仿宋" w:cs="宋体"/>
          <w:szCs w:val="21"/>
        </w:rPr>
        <w:t>1.乙方应按照国家有关法律法规规章、“三包”规定和合同、招标文件的要求及乙方在投标文件的相关承诺提供保修及其他服务。</w:t>
      </w:r>
    </w:p>
    <w:p>
      <w:pPr>
        <w:ind w:firstLine="420" w:firstLineChars="200"/>
        <w:outlineLvl w:val="9"/>
        <w:rPr>
          <w:rFonts w:ascii="仿宋" w:hAnsi="仿宋" w:cs="宋体"/>
          <w:szCs w:val="21"/>
        </w:rPr>
      </w:pPr>
      <w:r>
        <w:rPr>
          <w:rFonts w:hint="eastAsia" w:ascii="仿宋" w:hAnsi="仿宋" w:cs="宋体"/>
          <w:szCs w:val="21"/>
        </w:rPr>
        <w:t>2.在保修期内，每年维护保养次数不少于</w:t>
      </w:r>
      <w:r>
        <w:rPr>
          <w:rFonts w:hint="eastAsia" w:ascii="仿宋" w:hAnsi="仿宋" w:cs="宋体"/>
          <w:szCs w:val="21"/>
          <w:u w:val="single"/>
        </w:rPr>
        <w:t xml:space="preserve">    </w:t>
      </w:r>
      <w:r>
        <w:rPr>
          <w:rFonts w:hint="eastAsia" w:ascii="仿宋" w:hAnsi="仿宋" w:cs="宋体"/>
          <w:szCs w:val="21"/>
        </w:rPr>
        <w:t>次。保修期内，如设备的质量或规格与合同不符或证实设备是有缺陷的，包括潜在的缺陷或使用不符合要求的材质、零件、部件等，乙方应在接到甲方通知后</w:t>
      </w:r>
      <w:r>
        <w:rPr>
          <w:rFonts w:hint="eastAsia" w:ascii="仿宋" w:hAnsi="仿宋" w:cs="宋体"/>
          <w:szCs w:val="21"/>
          <w:u w:val="single"/>
        </w:rPr>
        <w:t xml:space="preserve">     </w:t>
      </w:r>
      <w:r>
        <w:rPr>
          <w:rFonts w:hint="eastAsia" w:ascii="仿宋" w:hAnsi="仿宋" w:cs="宋体"/>
          <w:szCs w:val="21"/>
        </w:rPr>
        <w:t>天内负责提供符合合同规定的新零件、部件，或提供新设备来更换有缺陷的部分，其费用由乙方承担。同时，乙方应按本合同规定，维修设备、零部件、材质或者更换零部件、材质的，相应延长设备保修期，更换设备的则重新起算保修期。</w:t>
      </w:r>
    </w:p>
    <w:p>
      <w:pPr>
        <w:ind w:firstLine="420" w:firstLineChars="200"/>
        <w:outlineLvl w:val="9"/>
        <w:rPr>
          <w:rFonts w:ascii="仿宋" w:hAnsi="仿宋" w:cs="宋体"/>
          <w:szCs w:val="21"/>
        </w:rPr>
      </w:pPr>
      <w:r>
        <w:rPr>
          <w:rFonts w:hint="eastAsia" w:ascii="仿宋" w:hAnsi="仿宋" w:cs="宋体"/>
          <w:szCs w:val="21"/>
        </w:rPr>
        <w:t>3.维修响应：保修期内、外，乙方在接到报修通知后，须在</w:t>
      </w:r>
      <w:r>
        <w:rPr>
          <w:rFonts w:hint="eastAsia" w:ascii="仿宋" w:hAnsi="仿宋" w:cs="宋体"/>
          <w:bCs/>
          <w:szCs w:val="21"/>
          <w:u w:val="single"/>
        </w:rPr>
        <w:t xml:space="preserve">    </w:t>
      </w:r>
      <w:r>
        <w:rPr>
          <w:rFonts w:hint="eastAsia" w:ascii="仿宋" w:hAnsi="仿宋" w:cs="宋体"/>
          <w:szCs w:val="21"/>
        </w:rPr>
        <w:t>小时内响应；电话不能解决的，须在</w:t>
      </w:r>
      <w:r>
        <w:rPr>
          <w:rFonts w:hint="eastAsia" w:ascii="仿宋" w:hAnsi="仿宋" w:cs="宋体"/>
          <w:bCs/>
          <w:szCs w:val="21"/>
          <w:u w:val="single"/>
        </w:rPr>
        <w:t xml:space="preserve">    </w:t>
      </w:r>
      <w:r>
        <w:rPr>
          <w:rFonts w:hint="eastAsia" w:ascii="仿宋" w:hAnsi="仿宋" w:cs="宋体"/>
          <w:szCs w:val="21"/>
        </w:rPr>
        <w:t>小时内派专业维修人员上门现场维修并解决问题，在规定时间内不能解决问题，应在</w:t>
      </w:r>
      <w:r>
        <w:rPr>
          <w:rFonts w:hint="eastAsia" w:ascii="仿宋" w:hAnsi="仿宋" w:cs="宋体"/>
          <w:szCs w:val="21"/>
          <w:u w:val="single"/>
        </w:rPr>
        <w:t xml:space="preserve">    </w:t>
      </w:r>
      <w:r>
        <w:rPr>
          <w:rFonts w:hint="eastAsia" w:ascii="仿宋" w:hAnsi="仿宋" w:cs="宋体"/>
          <w:szCs w:val="21"/>
        </w:rPr>
        <w:t>小时内免费提供相同档次的设备给甲方代用。如未及时响应维修，按照未及时响应次数，每次支付固定违约金￥</w:t>
      </w:r>
      <w:r>
        <w:rPr>
          <w:rFonts w:hint="eastAsia" w:ascii="仿宋" w:hAnsi="仿宋" w:cs="宋体"/>
          <w:szCs w:val="21"/>
          <w:u w:val="single"/>
        </w:rPr>
        <w:t xml:space="preserve">    </w:t>
      </w:r>
      <w:r>
        <w:rPr>
          <w:rFonts w:hint="eastAsia" w:ascii="仿宋" w:hAnsi="仿宋" w:cs="宋体"/>
          <w:szCs w:val="21"/>
        </w:rPr>
        <w:t>元人民币，累计上限不超过合同金额的20%；如累计超过</w:t>
      </w:r>
      <w:r>
        <w:rPr>
          <w:rFonts w:hint="eastAsia" w:ascii="仿宋" w:hAnsi="仿宋" w:cs="宋体"/>
          <w:szCs w:val="21"/>
          <w:u w:val="single"/>
        </w:rPr>
        <w:t xml:space="preserve">    </w:t>
      </w:r>
      <w:r>
        <w:rPr>
          <w:rFonts w:hint="eastAsia" w:ascii="仿宋" w:hAnsi="仿宋" w:cs="宋体"/>
          <w:szCs w:val="21"/>
        </w:rPr>
        <w:t>次未按照合同约定的时限响应，甲方有权解除合同，并要求乙方偿付合同总价30%的违约金。</w:t>
      </w:r>
    </w:p>
    <w:p>
      <w:pPr>
        <w:ind w:firstLine="420" w:firstLineChars="200"/>
        <w:outlineLvl w:val="9"/>
        <w:rPr>
          <w:rFonts w:ascii="仿宋" w:hAnsi="仿宋" w:cs="宋体"/>
          <w:szCs w:val="21"/>
        </w:rPr>
      </w:pPr>
      <w:r>
        <w:rPr>
          <w:rFonts w:hint="eastAsia" w:ascii="仿宋" w:hAnsi="仿宋" w:cs="宋体"/>
          <w:szCs w:val="21"/>
        </w:rPr>
        <w:t>4.乙方负责设备的终身维修，储备足够的零配件备库并保证</w:t>
      </w:r>
      <w:r>
        <w:rPr>
          <w:rFonts w:hint="eastAsia" w:ascii="仿宋" w:hAnsi="仿宋" w:cs="宋体"/>
          <w:szCs w:val="21"/>
          <w:u w:val="single"/>
        </w:rPr>
        <w:t xml:space="preserve">    </w:t>
      </w:r>
      <w:r>
        <w:rPr>
          <w:rFonts w:hint="eastAsia" w:ascii="仿宋" w:hAnsi="仿宋" w:cs="宋体"/>
          <w:szCs w:val="21"/>
        </w:rPr>
        <w:t>年以上的维修配件。保修期满后，乙方对设备的维修不收人工及差旅费，只收取相关材料费（价格不得高于市场价格）。</w:t>
      </w:r>
    </w:p>
    <w:p>
      <w:pPr>
        <w:ind w:left="1" w:firstLine="417" w:firstLineChars="199"/>
        <w:outlineLvl w:val="9"/>
        <w:rPr>
          <w:rFonts w:ascii="仿宋" w:hAnsi="仿宋" w:cs="宋体"/>
          <w:szCs w:val="21"/>
        </w:rPr>
      </w:pPr>
      <w:r>
        <w:rPr>
          <w:rFonts w:hint="eastAsia" w:ascii="仿宋" w:hAnsi="仿宋" w:cs="宋体"/>
          <w:szCs w:val="21"/>
        </w:rPr>
        <w:t>5.在保修期内，必须保证设备开机率＞95%以上；若不能达到此开机率，将作以下处理：（1）开机率在90%</w:t>
      </w:r>
      <w:r>
        <w:rPr>
          <w:rFonts w:hint="eastAsia" w:ascii="仿宋" w:hAnsi="仿宋" w:cs="宋体"/>
          <w:szCs w:val="21"/>
          <w:lang w:val="zh-CN"/>
        </w:rPr>
        <w:t>～</w:t>
      </w:r>
      <w:r>
        <w:rPr>
          <w:rFonts w:hint="eastAsia" w:ascii="仿宋" w:hAnsi="仿宋" w:cs="宋体"/>
          <w:szCs w:val="21"/>
        </w:rPr>
        <w:t>95%之间按一年赔二年延长保修期；（2）开机率在85%</w:t>
      </w:r>
      <w:r>
        <w:rPr>
          <w:rFonts w:hint="eastAsia" w:ascii="仿宋" w:hAnsi="仿宋" w:cs="宋体"/>
          <w:szCs w:val="21"/>
          <w:lang w:val="zh-CN"/>
        </w:rPr>
        <w:t>～</w:t>
      </w:r>
      <w:r>
        <w:rPr>
          <w:rFonts w:hint="eastAsia" w:ascii="仿宋" w:hAnsi="仿宋" w:cs="宋体"/>
          <w:szCs w:val="21"/>
        </w:rPr>
        <w:t>90%之间按一年赔五年延长保修期；（3）开机率低于85%必须无条件更换新机，重新计算保修期，并赔偿甲方的直接经济损失和间接经济损失。</w:t>
      </w:r>
    </w:p>
    <w:p>
      <w:pPr>
        <w:ind w:left="689" w:leftChars="228" w:hanging="210" w:hangingChars="100"/>
        <w:outlineLvl w:val="9"/>
        <w:rPr>
          <w:rFonts w:ascii="仿宋" w:hAnsi="仿宋" w:cs="宋体"/>
          <w:szCs w:val="21"/>
        </w:rPr>
      </w:pPr>
      <w:r>
        <w:rPr>
          <w:rFonts w:hint="eastAsia" w:ascii="仿宋" w:hAnsi="仿宋" w:cs="宋体"/>
          <w:szCs w:val="21"/>
        </w:rPr>
        <w:t>6.免费提供</w:t>
      </w:r>
      <w:r>
        <w:rPr>
          <w:rFonts w:hint="eastAsia" w:ascii="仿宋" w:hAnsi="仿宋" w:cs="宋体"/>
          <w:szCs w:val="21"/>
          <w:u w:val="single"/>
        </w:rPr>
        <w:t xml:space="preserve">    </w:t>
      </w:r>
      <w:r>
        <w:rPr>
          <w:rFonts w:hint="eastAsia" w:ascii="仿宋" w:hAnsi="仿宋" w:cs="宋体"/>
          <w:szCs w:val="21"/>
        </w:rPr>
        <w:t>年软件升级。</w:t>
      </w:r>
    </w:p>
    <w:p>
      <w:pPr>
        <w:ind w:firstLine="420" w:firstLineChars="200"/>
        <w:outlineLvl w:val="9"/>
        <w:rPr>
          <w:rFonts w:ascii="仿宋" w:hAnsi="仿宋" w:cs="宋体"/>
          <w:szCs w:val="21"/>
        </w:rPr>
      </w:pPr>
      <w:r>
        <w:rPr>
          <w:rFonts w:hint="eastAsia" w:ascii="仿宋" w:hAnsi="仿宋" w:cs="宋体"/>
          <w:szCs w:val="21"/>
        </w:rPr>
        <w:t>第六条  货款支付</w:t>
      </w:r>
    </w:p>
    <w:p>
      <w:pPr>
        <w:ind w:left="1" w:firstLine="417" w:firstLineChars="199"/>
        <w:outlineLvl w:val="9"/>
        <w:rPr>
          <w:rFonts w:hint="eastAsia" w:ascii="仿宋" w:hAnsi="仿宋" w:cs="宋体"/>
          <w:bCs/>
          <w:kern w:val="0"/>
          <w:szCs w:val="21"/>
        </w:rPr>
      </w:pPr>
      <w:r>
        <w:rPr>
          <w:rFonts w:hint="eastAsia" w:ascii="仿宋" w:hAnsi="仿宋" w:cs="宋体"/>
          <w:bCs/>
          <w:kern w:val="0"/>
          <w:szCs w:val="21"/>
        </w:rPr>
        <w:t>货到指定地点、安装验收合格、乙方提供全额发票后，甲方收到发票后支付乙方95%货款；保修期届满且经使用单位确认无质量问题后，由甲方支付乙方5%货款。具体付款方式按深圳市坪山区财政局有关规定执行。</w:t>
      </w:r>
    </w:p>
    <w:p>
      <w:pPr>
        <w:ind w:left="1" w:firstLine="417" w:firstLineChars="199"/>
        <w:outlineLvl w:val="9"/>
        <w:rPr>
          <w:rFonts w:ascii="仿宋" w:hAnsi="仿宋" w:cs="宋体"/>
          <w:szCs w:val="21"/>
        </w:rPr>
      </w:pPr>
      <w:r>
        <w:rPr>
          <w:rFonts w:hint="eastAsia" w:ascii="仿宋" w:hAnsi="仿宋" w:cs="宋体"/>
          <w:szCs w:val="21"/>
        </w:rPr>
        <w:t>第七条  违约责任</w:t>
      </w:r>
    </w:p>
    <w:p>
      <w:pPr>
        <w:ind w:firstLine="420" w:firstLineChars="200"/>
        <w:outlineLvl w:val="9"/>
        <w:rPr>
          <w:rFonts w:hint="eastAsia" w:ascii="仿宋" w:hAnsi="仿宋" w:cs="宋体"/>
          <w:szCs w:val="21"/>
        </w:rPr>
      </w:pPr>
      <w:r>
        <w:rPr>
          <w:rFonts w:hint="eastAsia" w:ascii="仿宋" w:hAnsi="仿宋" w:cs="宋体"/>
          <w:szCs w:val="21"/>
        </w:rPr>
        <w:t>1.甲方无正当理由拒收设备的，由甲方向乙方偿付合同总价30%的违约金。</w:t>
      </w:r>
    </w:p>
    <w:p>
      <w:pPr>
        <w:ind w:firstLine="420" w:firstLineChars="200"/>
        <w:outlineLvl w:val="9"/>
        <w:rPr>
          <w:rFonts w:hint="eastAsia" w:ascii="仿宋" w:hAnsi="仿宋" w:cs="宋体"/>
          <w:szCs w:val="21"/>
        </w:rPr>
      </w:pPr>
      <w:r>
        <w:rPr>
          <w:rFonts w:hint="eastAsia" w:ascii="仿宋" w:hAnsi="仿宋" w:cs="宋体"/>
          <w:szCs w:val="21"/>
        </w:rPr>
        <w:t>2.乙方逾期交付设备的，每逾期1天，乙方向甲方偿付合同总价5‰的违约金。如乙方逾期交货达45天，甲方有权解除合同，同时甲方有权要求乙方支付合同总价30%的违约金，并赔偿甲方由此遭受的损失。</w:t>
      </w:r>
    </w:p>
    <w:p>
      <w:pPr>
        <w:ind w:firstLine="420" w:firstLineChars="200"/>
        <w:outlineLvl w:val="9"/>
        <w:rPr>
          <w:rFonts w:hint="eastAsia" w:ascii="仿宋" w:hAnsi="仿宋" w:cs="宋体"/>
          <w:szCs w:val="21"/>
        </w:rPr>
      </w:pPr>
      <w:r>
        <w:rPr>
          <w:rFonts w:hint="eastAsia" w:ascii="仿宋" w:hAnsi="仿宋" w:cs="宋体"/>
          <w:szCs w:val="21"/>
        </w:rPr>
        <w:t>3.乙方不能交付或所交付的设备品牌、型号、规格、性能等不符合合同规定和招投标文件要求的，甲方有权退货并解除合同，同时有权要求乙方支付合同总价30%的违约金，并赔偿甲方由此遭受的损失。</w:t>
      </w:r>
    </w:p>
    <w:p>
      <w:pPr>
        <w:ind w:firstLine="420" w:firstLineChars="200"/>
        <w:outlineLvl w:val="9"/>
        <w:rPr>
          <w:rFonts w:hint="eastAsia" w:ascii="仿宋" w:hAnsi="仿宋" w:cs="宋体"/>
          <w:szCs w:val="21"/>
        </w:rPr>
      </w:pPr>
      <w:r>
        <w:rPr>
          <w:rFonts w:hint="eastAsia" w:ascii="仿宋" w:hAnsi="仿宋" w:cs="宋体"/>
          <w:szCs w:val="21"/>
        </w:rPr>
        <w:t>4.在乙方承诺的或国家规定的保修期内（取两者中最长的期限），乙方负责保修、包换或者包退并承担相关费用。如设备经乙方三次维修或更换，仍不能达到合同规定和招投标文件要求的质量标准，甲方有权退货并解除合同，同时甲方有权要求乙方支付合同总价30%的违约金，并赔偿甲方由此遭受的损失。</w:t>
      </w:r>
    </w:p>
    <w:p>
      <w:pPr>
        <w:ind w:firstLine="420" w:firstLineChars="200"/>
        <w:outlineLvl w:val="9"/>
        <w:rPr>
          <w:rFonts w:hint="eastAsia" w:ascii="仿宋" w:hAnsi="仿宋" w:cs="宋体"/>
          <w:szCs w:val="21"/>
        </w:rPr>
      </w:pPr>
      <w:r>
        <w:rPr>
          <w:rFonts w:hint="eastAsia" w:ascii="仿宋" w:hAnsi="仿宋" w:cs="宋体"/>
          <w:szCs w:val="21"/>
        </w:rPr>
        <w:t>5.因设备质量问题造成患者人身伤害、造成甲方经济损失的，甲方向患者先行赔偿后，有权向乙方追偿。</w:t>
      </w:r>
    </w:p>
    <w:p>
      <w:pPr>
        <w:ind w:firstLine="420" w:firstLineChars="200"/>
        <w:outlineLvl w:val="9"/>
        <w:rPr>
          <w:rFonts w:hint="eastAsia" w:ascii="仿宋" w:hAnsi="仿宋" w:cs="宋体"/>
          <w:szCs w:val="21"/>
        </w:rPr>
      </w:pPr>
      <w:r>
        <w:rPr>
          <w:rFonts w:hint="eastAsia" w:ascii="仿宋" w:hAnsi="仿宋" w:cs="宋体"/>
          <w:szCs w:val="21"/>
        </w:rPr>
        <w:t>6.乙方未履行本合同项下的其他义务或违反其在投标文件中的相关承诺的，甲方有权要求乙方支付合同总价30%的违约金，并赔偿甲方由此遭受的损失。</w:t>
      </w:r>
    </w:p>
    <w:p>
      <w:pPr>
        <w:ind w:firstLine="420" w:firstLineChars="200"/>
        <w:outlineLvl w:val="9"/>
        <w:rPr>
          <w:rFonts w:hint="eastAsia" w:ascii="仿宋" w:hAnsi="仿宋" w:cs="宋体"/>
          <w:szCs w:val="21"/>
        </w:rPr>
      </w:pPr>
      <w:r>
        <w:rPr>
          <w:rFonts w:hint="eastAsia" w:ascii="仿宋" w:hAnsi="仿宋" w:cs="宋体"/>
          <w:szCs w:val="21"/>
        </w:rPr>
        <w:t>7.乙方在承担上述一项或多项违约责任后，仍应继续履行合同规定的义务（甲方解除合同的除外）。甲方未能及时追究乙方的其中一项违约责任并不表明甲方放弃追究乙方该项或其他违约责任。</w:t>
      </w:r>
    </w:p>
    <w:p>
      <w:pPr>
        <w:ind w:firstLine="420" w:firstLineChars="200"/>
        <w:outlineLvl w:val="9"/>
        <w:rPr>
          <w:rFonts w:ascii="仿宋" w:hAnsi="仿宋" w:cs="宋体"/>
          <w:szCs w:val="21"/>
        </w:rPr>
      </w:pPr>
      <w:r>
        <w:rPr>
          <w:rFonts w:hint="eastAsia" w:ascii="仿宋" w:hAnsi="仿宋" w:cs="宋体"/>
          <w:szCs w:val="21"/>
        </w:rPr>
        <w:t>第八条  合同的变更和终止</w:t>
      </w:r>
    </w:p>
    <w:p>
      <w:pPr>
        <w:ind w:firstLine="420" w:firstLineChars="200"/>
        <w:jc w:val="left"/>
        <w:outlineLvl w:val="9"/>
        <w:rPr>
          <w:rFonts w:hint="eastAsia" w:ascii="仿宋" w:hAnsi="仿宋" w:cs="宋体"/>
          <w:szCs w:val="21"/>
        </w:rPr>
      </w:pPr>
      <w:r>
        <w:rPr>
          <w:rFonts w:hint="eastAsia" w:ascii="仿宋" w:hAnsi="仿宋" w:cs="宋体"/>
          <w:szCs w:val="21"/>
        </w:rPr>
        <w:t>除《中华人民共和国政府采购法》第49条、第50条第二款以及本合同第七条第2、3、4款规定的情形外，本合同一经签订，甲乙双方不得擅自变更、中止或终止合同。</w:t>
      </w:r>
    </w:p>
    <w:p>
      <w:pPr>
        <w:ind w:firstLine="420" w:firstLineChars="200"/>
        <w:jc w:val="left"/>
        <w:outlineLvl w:val="9"/>
        <w:rPr>
          <w:rFonts w:ascii="仿宋" w:hAnsi="仿宋" w:cs="宋体"/>
          <w:szCs w:val="21"/>
        </w:rPr>
      </w:pPr>
      <w:r>
        <w:rPr>
          <w:rFonts w:hint="eastAsia" w:ascii="仿宋" w:hAnsi="仿宋" w:cs="宋体"/>
          <w:szCs w:val="21"/>
        </w:rPr>
        <w:t>第九条  争议的解决</w:t>
      </w:r>
    </w:p>
    <w:p>
      <w:pPr>
        <w:ind w:firstLine="420" w:firstLineChars="200"/>
        <w:outlineLvl w:val="9"/>
        <w:rPr>
          <w:rFonts w:hint="eastAsia" w:ascii="仿宋" w:hAnsi="仿宋" w:cs="宋体"/>
          <w:szCs w:val="21"/>
        </w:rPr>
      </w:pPr>
      <w:r>
        <w:rPr>
          <w:rFonts w:hint="eastAsia" w:ascii="仿宋" w:hAnsi="仿宋" w:cs="宋体"/>
          <w:szCs w:val="21"/>
        </w:rPr>
        <w:t>1.因设备的质量问题发生争议的，应当邀请国家认可的质量检测机构对货物质量进行鉴定。若无国家认可的质量检测机构，则由甲乙双方共同委托的、有相应鉴定能力的第三方机构进行鉴定。鉴定费由乙方先行支付。经鉴定确定质量不符合标准的，鉴定费由乙方承担，造成延期交付时，乙方承担延期交付违约责任。反之鉴定费由甲方承担。</w:t>
      </w:r>
    </w:p>
    <w:p>
      <w:pPr>
        <w:ind w:firstLine="420" w:firstLineChars="200"/>
        <w:jc w:val="left"/>
        <w:outlineLvl w:val="9"/>
        <w:rPr>
          <w:rFonts w:ascii="仿宋" w:hAnsi="仿宋" w:cs="宋体"/>
          <w:szCs w:val="21"/>
        </w:rPr>
      </w:pPr>
      <w:r>
        <w:rPr>
          <w:rFonts w:hint="eastAsia" w:ascii="仿宋" w:hAnsi="仿宋" w:cs="宋体"/>
          <w:szCs w:val="21"/>
        </w:rPr>
        <w:t>2.因履行本合同引起的或与本合同有关的争议，甲、乙双方应首先通过友好协商解决，如果协商不能解决争议，则向甲方所在地有管辖权的人民法院提起诉讼。</w:t>
      </w:r>
    </w:p>
    <w:p>
      <w:pPr>
        <w:ind w:firstLine="420" w:firstLineChars="200"/>
        <w:jc w:val="left"/>
        <w:outlineLvl w:val="9"/>
        <w:rPr>
          <w:rFonts w:ascii="仿宋" w:hAnsi="仿宋" w:cs="宋体"/>
          <w:szCs w:val="21"/>
        </w:rPr>
      </w:pPr>
      <w:r>
        <w:rPr>
          <w:rFonts w:hint="eastAsia" w:ascii="仿宋" w:hAnsi="仿宋" w:cs="宋体"/>
          <w:szCs w:val="21"/>
        </w:rPr>
        <w:t>第十条  合同生效</w:t>
      </w:r>
    </w:p>
    <w:p>
      <w:pPr>
        <w:ind w:firstLine="420" w:firstLineChars="200"/>
        <w:outlineLvl w:val="9"/>
        <w:rPr>
          <w:rFonts w:ascii="仿宋" w:hAnsi="仿宋" w:cs="宋体"/>
          <w:szCs w:val="21"/>
        </w:rPr>
      </w:pPr>
      <w:r>
        <w:rPr>
          <w:rFonts w:hint="eastAsia" w:ascii="仿宋" w:hAnsi="仿宋" w:cs="宋体"/>
          <w:szCs w:val="21"/>
        </w:rPr>
        <w:t>本合同一式陆份，甲乙双方、坪山区公共资源交易中心等各执两份，均具同等效力。合同附件作为本合同的组成部分，与本合同具有同等法律效力。若本合同附件与本合同的内容冲突的，以本合同附件来执行。</w:t>
      </w:r>
    </w:p>
    <w:p>
      <w:pPr>
        <w:ind w:firstLine="420" w:firstLineChars="200"/>
        <w:outlineLvl w:val="9"/>
        <w:rPr>
          <w:rFonts w:ascii="仿宋" w:hAnsi="仿宋" w:cs="宋体"/>
          <w:szCs w:val="21"/>
        </w:rPr>
      </w:pPr>
      <w:r>
        <w:rPr>
          <w:rFonts w:hint="eastAsia" w:ascii="仿宋" w:hAnsi="仿宋" w:cs="宋体"/>
          <w:szCs w:val="21"/>
        </w:rPr>
        <w:t>本合同以及本项目招标文件、投标文件共同作为本项目履行的依据。若本合同的实质性条款的约定与本项目招标文件、投标文件有抵触之处的，以本项目招标文件（投标文件响应的内容优于招标文件的除外）为准；若投标文件响应内容优于本项目招标文件，则以投标文件为准。</w:t>
      </w:r>
    </w:p>
    <w:p>
      <w:pPr>
        <w:outlineLvl w:val="9"/>
        <w:rPr>
          <w:rFonts w:hint="eastAsia" w:ascii="仿宋" w:hAnsi="仿宋" w:cs="宋体"/>
          <w:bCs/>
          <w:szCs w:val="21"/>
        </w:rPr>
      </w:pPr>
    </w:p>
    <w:p>
      <w:pPr>
        <w:outlineLvl w:val="9"/>
        <w:rPr>
          <w:rFonts w:ascii="仿宋" w:hAnsi="仿宋" w:cs="宋体"/>
          <w:bCs/>
          <w:szCs w:val="21"/>
        </w:rPr>
      </w:pPr>
      <w:r>
        <w:rPr>
          <w:rFonts w:hint="eastAsia" w:ascii="仿宋" w:hAnsi="仿宋" w:cs="宋体"/>
          <w:bCs/>
          <w:szCs w:val="21"/>
        </w:rPr>
        <w:t>甲方（采购人）：</w:t>
      </w:r>
      <w:r>
        <w:rPr>
          <w:rFonts w:hint="eastAsia" w:ascii="仿宋" w:hAnsi="仿宋" w:cs="宋体"/>
          <w:szCs w:val="21"/>
        </w:rPr>
        <w:t xml:space="preserve">                        </w:t>
      </w:r>
      <w:r>
        <w:rPr>
          <w:rFonts w:hint="eastAsia" w:ascii="仿宋" w:hAnsi="仿宋" w:cs="宋体"/>
          <w:bCs/>
          <w:szCs w:val="21"/>
        </w:rPr>
        <w:t>乙方（供应商）：</w:t>
      </w:r>
    </w:p>
    <w:p>
      <w:pPr>
        <w:jc w:val="left"/>
        <w:outlineLvl w:val="9"/>
        <w:rPr>
          <w:rFonts w:ascii="仿宋" w:hAnsi="仿宋" w:cs="宋体"/>
          <w:bCs/>
          <w:szCs w:val="21"/>
        </w:rPr>
      </w:pPr>
      <w:r>
        <w:rPr>
          <w:rFonts w:hint="eastAsia" w:ascii="仿宋" w:hAnsi="仿宋" w:cs="宋体"/>
          <w:bCs/>
          <w:szCs w:val="21"/>
        </w:rPr>
        <w:t xml:space="preserve">法定代表人（或授权代表）：              法定代表人（或授权代表）： </w:t>
      </w:r>
    </w:p>
    <w:p>
      <w:pPr>
        <w:jc w:val="left"/>
        <w:outlineLvl w:val="9"/>
        <w:rPr>
          <w:rFonts w:ascii="仿宋" w:hAnsi="仿宋" w:cs="宋体"/>
          <w:bCs/>
          <w:szCs w:val="21"/>
        </w:rPr>
      </w:pPr>
      <w:r>
        <w:rPr>
          <w:rFonts w:hint="eastAsia" w:ascii="仿宋" w:hAnsi="仿宋" w:cs="宋体"/>
          <w:bCs/>
          <w:szCs w:val="21"/>
        </w:rPr>
        <w:t>联系电话：                              联系电话：</w:t>
      </w:r>
    </w:p>
    <w:p>
      <w:pPr>
        <w:ind w:firstLine="4200" w:firstLineChars="2000"/>
        <w:jc w:val="left"/>
        <w:outlineLvl w:val="9"/>
        <w:rPr>
          <w:rFonts w:ascii="仿宋" w:hAnsi="仿宋" w:cs="宋体"/>
          <w:bCs/>
          <w:szCs w:val="21"/>
        </w:rPr>
      </w:pPr>
      <w:r>
        <w:rPr>
          <w:rFonts w:hint="eastAsia" w:ascii="仿宋" w:hAnsi="仿宋" w:cs="宋体"/>
          <w:bCs/>
          <w:szCs w:val="21"/>
        </w:rPr>
        <w:t>开户行名称：</w:t>
      </w:r>
    </w:p>
    <w:p>
      <w:pPr>
        <w:ind w:firstLine="4200" w:firstLineChars="2000"/>
        <w:jc w:val="left"/>
        <w:outlineLvl w:val="9"/>
        <w:rPr>
          <w:rFonts w:ascii="仿宋" w:hAnsi="仿宋" w:cs="宋体"/>
          <w:bCs/>
          <w:szCs w:val="21"/>
        </w:rPr>
      </w:pPr>
      <w:r>
        <w:rPr>
          <w:rFonts w:hint="eastAsia" w:ascii="仿宋" w:hAnsi="仿宋" w:cs="宋体"/>
          <w:bCs/>
          <w:szCs w:val="21"/>
        </w:rPr>
        <w:t>银行账号：</w:t>
      </w:r>
    </w:p>
    <w:p>
      <w:pPr>
        <w:outlineLvl w:val="9"/>
        <w:rPr>
          <w:rFonts w:hint="eastAsia" w:ascii="仿宋" w:hAnsi="仿宋" w:cs="宋体"/>
          <w:szCs w:val="21"/>
        </w:rPr>
      </w:pPr>
      <w:r>
        <w:rPr>
          <w:rFonts w:hint="eastAsia" w:ascii="仿宋" w:hAnsi="仿宋" w:cs="宋体"/>
          <w:szCs w:val="21"/>
        </w:rPr>
        <w:t xml:space="preserve">签约地址：   </w:t>
      </w:r>
    </w:p>
    <w:p>
      <w:pPr>
        <w:outlineLvl w:val="9"/>
        <w:rPr>
          <w:rFonts w:hint="eastAsia" w:ascii="仿宋" w:hAnsi="仿宋" w:cs="宋体"/>
          <w:bCs/>
          <w:szCs w:val="21"/>
        </w:rPr>
      </w:pPr>
      <w:r>
        <w:rPr>
          <w:rFonts w:hint="eastAsia" w:ascii="仿宋" w:hAnsi="仿宋" w:cs="宋体"/>
          <w:bCs/>
          <w:szCs w:val="21"/>
        </w:rPr>
        <w:t xml:space="preserve">日期：     年    月    日     </w:t>
      </w:r>
    </w:p>
    <w:p>
      <w:pPr>
        <w:jc w:val="left"/>
        <w:outlineLvl w:val="9"/>
        <w:rPr>
          <w:rFonts w:hint="eastAsia" w:ascii="仿宋" w:hAnsi="仿宋" w:cs="宋体"/>
          <w:bCs/>
          <w:szCs w:val="21"/>
        </w:rPr>
      </w:pPr>
    </w:p>
    <w:bookmarkEnd w:id="85"/>
    <w:p>
      <w:pPr>
        <w:ind w:firstLine="420" w:firstLineChars="200"/>
        <w:rPr>
          <w:rFonts w:ascii="宋体" w:hAnsi="宋体"/>
          <w:szCs w:val="21"/>
        </w:rPr>
      </w:pPr>
    </w:p>
    <w:p>
      <w:pPr>
        <w:spacing w:line="360" w:lineRule="auto"/>
        <w:jc w:val="center"/>
        <w:outlineLvl w:val="1"/>
        <w:rPr>
          <w:rFonts w:hint="eastAsia" w:ascii="Times New Roman" w:hAnsi="Times New Roman" w:eastAsia="宋体" w:cs="Times New Roman"/>
          <w:bCs w:val="0"/>
          <w:kern w:val="0"/>
          <w:sz w:val="24"/>
          <w:szCs w:val="20"/>
        </w:rPr>
      </w:pPr>
      <w:r>
        <w:rPr>
          <w:rFonts w:hint="eastAsia"/>
        </w:rPr>
        <w:t>第</w:t>
      </w:r>
      <w:r>
        <w:rPr>
          <w:rFonts w:hint="eastAsia"/>
          <w:lang w:eastAsia="zh-CN"/>
        </w:rPr>
        <w:t>六</w:t>
      </w:r>
      <w:r>
        <w:rPr>
          <w:rFonts w:hint="eastAsia"/>
        </w:rPr>
        <w:t xml:space="preserve">章  </w:t>
      </w:r>
      <w:r>
        <w:rPr>
          <w:rFonts w:hint="eastAsia" w:ascii="Times New Roman" w:hAnsi="Times New Roman" w:eastAsia="宋体" w:cs="Times New Roman"/>
          <w:bCs w:val="0"/>
          <w:kern w:val="0"/>
          <w:sz w:val="24"/>
          <w:szCs w:val="20"/>
        </w:rPr>
        <w:t>政府采购履约异常情况反馈表</w:t>
      </w:r>
    </w:p>
    <w:p>
      <w:pPr>
        <w:spacing w:line="240" w:lineRule="atLeast"/>
        <w:rPr>
          <w:rFonts w:ascii="宋体" w:hAnsi="宋体"/>
          <w:b/>
          <w:szCs w:val="21"/>
        </w:rPr>
      </w:pP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3"/>
        <w:tblW w:w="96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4"/>
        <w:gridCol w:w="909"/>
        <w:gridCol w:w="1075"/>
        <w:gridCol w:w="2165"/>
        <w:gridCol w:w="1980"/>
        <w:gridCol w:w="24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958"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采购项目名称</w:t>
            </w:r>
          </w:p>
        </w:tc>
        <w:tc>
          <w:tcPr>
            <w:tcW w:w="216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9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项目编号</w:t>
            </w:r>
          </w:p>
        </w:tc>
        <w:tc>
          <w:tcPr>
            <w:tcW w:w="2497"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958"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中标供应商名称</w:t>
            </w:r>
          </w:p>
        </w:tc>
        <w:tc>
          <w:tcPr>
            <w:tcW w:w="216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9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供应商</w:t>
            </w:r>
          </w:p>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联系人及电话</w:t>
            </w:r>
          </w:p>
        </w:tc>
        <w:tc>
          <w:tcPr>
            <w:tcW w:w="2497"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958"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中标金额</w:t>
            </w:r>
          </w:p>
        </w:tc>
        <w:tc>
          <w:tcPr>
            <w:tcW w:w="2165"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9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合同履约时间</w:t>
            </w:r>
          </w:p>
        </w:tc>
        <w:tc>
          <w:tcPr>
            <w:tcW w:w="2497" w:type="dxa"/>
            <w:vAlign w:val="center"/>
          </w:tcPr>
          <w:p>
            <w:pPr>
              <w:keepNext w:val="0"/>
              <w:keepLines w:val="0"/>
              <w:suppressLineNumbers w:val="0"/>
              <w:spacing w:before="0" w:beforeAutospacing="0" w:after="0" w:afterAutospacing="0" w:line="240" w:lineRule="atLeast"/>
              <w:ind w:left="0" w:right="0"/>
              <w:rPr>
                <w:rFonts w:hint="default"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974"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b/>
                <w:szCs w:val="21"/>
              </w:rPr>
            </w:pPr>
            <w:r>
              <w:rPr>
                <w:rFonts w:hint="eastAsia" w:ascii="宋体" w:hAnsi="宋体"/>
                <w:b/>
                <w:szCs w:val="21"/>
              </w:rPr>
              <w:t>履约情况评价</w:t>
            </w:r>
          </w:p>
        </w:tc>
        <w:tc>
          <w:tcPr>
            <w:tcW w:w="1984" w:type="dxa"/>
            <w:gridSpan w:val="2"/>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总体评价</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firstLine="105" w:firstLineChars="50"/>
              <w:jc w:val="center"/>
              <w:rPr>
                <w:rFonts w:hint="default"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restart"/>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分项评价</w:t>
            </w: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质量方面</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价格方面</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服务方面</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时间方面</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环境保护</w:t>
            </w:r>
          </w:p>
        </w:tc>
        <w:tc>
          <w:tcPr>
            <w:tcW w:w="6642"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4"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909"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p>
        </w:tc>
        <w:tc>
          <w:tcPr>
            <w:tcW w:w="1075"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其他</w:t>
            </w:r>
          </w:p>
        </w:tc>
        <w:tc>
          <w:tcPr>
            <w:tcW w:w="6642" w:type="dxa"/>
            <w:gridSpan w:val="3"/>
            <w:tcBorders>
              <w:left w:val="single" w:color="auto" w:sz="4" w:space="0"/>
            </w:tcBorders>
            <w:vAlign w:val="center"/>
          </w:tcPr>
          <w:p>
            <w:pPr>
              <w:keepNext w:val="0"/>
              <w:keepLines w:val="0"/>
              <w:suppressLineNumbers w:val="0"/>
              <w:spacing w:before="156" w:beforeLines="50" w:beforeAutospacing="0" w:after="156" w:afterLines="50" w:afterAutospacing="0" w:line="240" w:lineRule="atLeast"/>
              <w:ind w:left="0" w:right="0"/>
              <w:rPr>
                <w:rFonts w:hint="default"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keepNext w:val="0"/>
              <w:keepLines w:val="0"/>
              <w:suppressLineNumbers w:val="0"/>
              <w:spacing w:before="156" w:beforeLines="50" w:beforeAutospacing="0" w:after="156" w:afterLines="50" w:afterAutospacing="0" w:line="240" w:lineRule="atLeast"/>
              <w:ind w:left="0" w:right="0"/>
              <w:rPr>
                <w:rFonts w:hint="default"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74" w:hRule="atLeast"/>
          <w:jc w:val="center"/>
        </w:trPr>
        <w:tc>
          <w:tcPr>
            <w:tcW w:w="1883"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具体情况说明</w:t>
            </w:r>
          </w:p>
        </w:tc>
        <w:tc>
          <w:tcPr>
            <w:tcW w:w="7717" w:type="dxa"/>
            <w:gridSpan w:val="4"/>
          </w:tcPr>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883"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采购人意见</w:t>
            </w:r>
          </w:p>
          <w:p>
            <w:pPr>
              <w:keepNext w:val="0"/>
              <w:keepLines w:val="0"/>
              <w:suppressLineNumbers w:val="0"/>
              <w:spacing w:before="0" w:beforeAutospacing="0" w:after="0" w:afterAutospacing="0" w:line="240" w:lineRule="atLeast"/>
              <w:ind w:left="0" w:right="0"/>
              <w:jc w:val="center"/>
              <w:rPr>
                <w:rFonts w:hint="default" w:ascii="宋体" w:hAnsi="宋体"/>
                <w:szCs w:val="21"/>
              </w:rPr>
            </w:pPr>
            <w:r>
              <w:rPr>
                <w:rFonts w:hint="eastAsia" w:ascii="宋体" w:hAnsi="宋体"/>
                <w:szCs w:val="21"/>
              </w:rPr>
              <w:t>（公章）</w:t>
            </w:r>
          </w:p>
        </w:tc>
        <w:tc>
          <w:tcPr>
            <w:tcW w:w="7717" w:type="dxa"/>
            <w:gridSpan w:val="4"/>
            <w:vAlign w:val="center"/>
          </w:tcPr>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p>
          <w:p>
            <w:pPr>
              <w:keepNext w:val="0"/>
              <w:keepLines w:val="0"/>
              <w:suppressLineNumbers w:val="0"/>
              <w:spacing w:before="0" w:beforeAutospacing="0" w:after="0" w:afterAutospacing="0" w:line="240" w:lineRule="atLeast"/>
              <w:ind w:left="0" w:right="0"/>
              <w:rPr>
                <w:rFonts w:hint="default" w:ascii="宋体" w:hAnsi="宋体"/>
                <w:szCs w:val="21"/>
              </w:rPr>
            </w:pPr>
            <w:r>
              <w:rPr>
                <w:rFonts w:hint="eastAsia" w:ascii="宋体" w:hAnsi="宋体"/>
                <w:szCs w:val="21"/>
              </w:rPr>
              <w:t xml:space="preserve">                                        </w:t>
            </w:r>
          </w:p>
          <w:p>
            <w:pPr>
              <w:keepNext w:val="0"/>
              <w:keepLines w:val="0"/>
              <w:suppressLineNumbers w:val="0"/>
              <w:spacing w:before="0" w:beforeAutospacing="0" w:after="0" w:afterAutospacing="0" w:line="240" w:lineRule="atLeast"/>
              <w:ind w:left="0" w:right="0" w:firstLine="3780" w:firstLineChars="1800"/>
              <w:rPr>
                <w:rFonts w:hint="default" w:ascii="宋体" w:hAnsi="宋体"/>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w:t>
      </w:r>
      <w:r>
        <w:rPr>
          <w:rFonts w:hint="eastAsia" w:ascii="宋体" w:hAnsi="宋体"/>
          <w:szCs w:val="21"/>
          <w:lang w:eastAsia="zh-CN"/>
        </w:rPr>
        <w:t>深圳公共资源交易中心（深圳交易集团有限公司坪山分公司）</w:t>
      </w:r>
      <w:r>
        <w:rPr>
          <w:rFonts w:hint="eastAsia" w:ascii="宋体" w:hAnsi="宋体"/>
          <w:szCs w:val="21"/>
        </w:rPr>
        <w:t>反映政府采购项目履约情况时所用；</w:t>
      </w:r>
    </w:p>
    <w:p>
      <w:pPr>
        <w:spacing w:line="240" w:lineRule="atLeast"/>
      </w:pPr>
      <w:r>
        <w:rPr>
          <w:rFonts w:hint="eastAsia" w:ascii="宋体" w:hAnsi="宋体"/>
          <w:szCs w:val="21"/>
        </w:rPr>
        <w:t>2、履约情况评价分为优、良、中、差四个等级，请在对应的框前打“√”，然后在“具体情况说明”一栏详细说明有关情况。</w:t>
      </w:r>
    </w:p>
    <w:p/>
    <w:p>
      <w:pPr>
        <w:widowControl/>
        <w:jc w:val="left"/>
        <w:rPr>
          <w:rFonts w:ascii="宋体" w:hAnsi="宋体"/>
          <w:szCs w:val="21"/>
        </w:rPr>
      </w:pPr>
      <w:r>
        <w:rPr>
          <w:rFonts w:ascii="宋体" w:hAnsi="宋体"/>
          <w:szCs w:val="21"/>
        </w:rPr>
        <w:br w:type="page"/>
      </w:r>
    </w:p>
    <w:p>
      <w:pPr>
        <w:pStyle w:val="5"/>
        <w:spacing w:before="120" w:beforeLines="50" w:after="120" w:afterLines="50"/>
        <w:ind w:left="562"/>
        <w:rPr>
          <w:sz w:val="28"/>
          <w:szCs w:val="28"/>
        </w:rPr>
      </w:pPr>
      <w:r>
        <w:rPr>
          <w:rFonts w:hint="eastAsia"/>
          <w:sz w:val="28"/>
          <w:szCs w:val="28"/>
        </w:rPr>
        <w:t>第二册  通用条款（公开招标）</w:t>
      </w:r>
    </w:p>
    <w:p>
      <w:pPr>
        <w:pStyle w:val="5"/>
        <w:numPr>
          <w:ilvl w:val="0"/>
          <w:numId w:val="21"/>
        </w:numPr>
        <w:spacing w:before="120" w:beforeLines="50" w:after="120" w:afterLines="50"/>
        <w:ind w:left="562" w:hanging="562"/>
        <w:rPr>
          <w:sz w:val="28"/>
          <w:szCs w:val="28"/>
        </w:rPr>
      </w:pPr>
      <w:bookmarkStart w:id="86" w:name="_Hlk72399513"/>
      <w:r>
        <w:rPr>
          <w:rFonts w:hint="eastAsia"/>
          <w:sz w:val="28"/>
          <w:szCs w:val="28"/>
        </w:rPr>
        <w:t>总则</w:t>
      </w:r>
    </w:p>
    <w:bookmarkEnd w:id="86"/>
    <w:p>
      <w:pPr>
        <w:rPr>
          <w:rFonts w:ascii="黑体" w:hAnsi="宋体" w:eastAsia="黑体"/>
          <w:sz w:val="24"/>
        </w:rPr>
      </w:pPr>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87" w:name="_Hlk72399729"/>
      <w:r>
        <w:rPr>
          <w:rFonts w:hint="eastAsia" w:ascii="宋体" w:hAnsi="宋体"/>
          <w:szCs w:val="21"/>
        </w:rPr>
        <w:t>如有需要，政府集中采购机构可以对通用条款的内容进行补充。</w:t>
      </w:r>
      <w:bookmarkEnd w:id="87"/>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eastAsia="zh-CN"/>
        </w:rPr>
        <w:t>坪山</w:t>
      </w:r>
      <w:r>
        <w:rPr>
          <w:rFonts w:hint="eastAsia" w:ascii="宋体" w:hAnsi="宋体"/>
          <w:b/>
          <w:bCs/>
          <w:color w:val="FF0000"/>
          <w:szCs w:val="21"/>
        </w:rPr>
        <w:t>分公司）</w:t>
      </w:r>
      <w:r>
        <w:rPr>
          <w:rFonts w:hint="eastAsia" w:ascii="宋体" w:hAnsi="宋体"/>
          <w:szCs w:val="21"/>
        </w:rPr>
        <w:t>网站提供的投标书加密软件加密的投标文件,适用于网上投标</w:t>
      </w:r>
      <w:bookmarkStart w:id="88" w:name="_Hlk72398581"/>
      <w:r>
        <w:rPr>
          <w:rFonts w:hint="eastAsia" w:ascii="宋体" w:hAnsi="宋体"/>
          <w:szCs w:val="21"/>
        </w:rPr>
        <w:t>（此投标书加密软件可从</w:t>
      </w:r>
      <w:r>
        <w:t>www.szggzy.com</w:t>
      </w:r>
      <w:r>
        <w:rPr>
          <w:rFonts w:hint="eastAsia" w:ascii="宋体" w:hAnsi="宋体"/>
          <w:szCs w:val="21"/>
        </w:rPr>
        <w:t>网站“服务导航-政府采购-资料下载”栏目中下载）；</w:t>
      </w:r>
      <w:bookmarkEnd w:id="88"/>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eastAsia="zh-CN"/>
        </w:rPr>
        <w:t>坪山</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89"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w:t>
      </w:r>
      <w:r>
        <w:fldChar w:fldCharType="begin"/>
      </w:r>
      <w:r>
        <w:instrText xml:space="preserve"> HYPERLINK "http://www.szzfcg.cn/viewer.do?id=2455258" \t "documentViewer2455258" </w:instrText>
      </w:r>
      <w:r>
        <w:fldChar w:fldCharType="separate"/>
      </w:r>
      <w:r>
        <w:rPr>
          <w:rFonts w:ascii="宋体" w:hAnsi="宋体"/>
          <w:szCs w:val="21"/>
        </w:rPr>
        <w:t>供应商注册及电子密钥新申请指引</w:t>
      </w:r>
      <w:r>
        <w:rPr>
          <w:rFonts w:ascii="宋体" w:hAnsi="宋体"/>
          <w:szCs w:val="21"/>
        </w:rPr>
        <w:fldChar w:fldCharType="end"/>
      </w:r>
      <w:r>
        <w:rPr>
          <w:rFonts w:hint="eastAsia" w:ascii="宋体" w:hAnsi="宋体"/>
          <w:szCs w:val="21"/>
        </w:rPr>
        <w:t>》详见</w:t>
      </w:r>
      <w:r>
        <w:t>www.szggzy.com</w:t>
      </w:r>
      <w:r>
        <w:rPr>
          <w:rFonts w:hint="eastAsia" w:ascii="宋体" w:hAnsi="宋体"/>
          <w:szCs w:val="21"/>
        </w:rPr>
        <w:t>网站“服务导航-政府采购-办事指南”。</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shd w:val="clear" w:color="auto" w:fill="FFFFFF"/>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90"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90"/>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89"/>
    <w:p>
      <w:pPr>
        <w:ind w:firstLine="411" w:firstLineChars="196"/>
        <w:rPr>
          <w:rFonts w:ascii="宋体" w:hAnsi="宋体"/>
        </w:rPr>
      </w:pPr>
    </w:p>
    <w:p>
      <w:pPr>
        <w:pStyle w:val="5"/>
        <w:numPr>
          <w:ilvl w:val="0"/>
          <w:numId w:val="21"/>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91"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91"/>
    </w:p>
    <w:p>
      <w:pPr>
        <w:rPr>
          <w:rFonts w:ascii="宋体" w:hAnsi="宋体"/>
          <w:szCs w:val="21"/>
        </w:rPr>
      </w:pPr>
    </w:p>
    <w:p>
      <w:pPr>
        <w:pStyle w:val="5"/>
        <w:numPr>
          <w:ilvl w:val="0"/>
          <w:numId w:val="21"/>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92"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92"/>
    <w:p>
      <w:pPr>
        <w:rPr>
          <w:rFonts w:ascii="黑体" w:hAnsi="宋体" w:eastAsia="黑体"/>
          <w:sz w:val="24"/>
        </w:rPr>
      </w:pPr>
      <w:r>
        <w:rPr>
          <w:rFonts w:hint="eastAsia" w:ascii="黑体" w:hAnsi="宋体" w:eastAsia="黑体"/>
          <w:sz w:val="24"/>
        </w:rPr>
        <w:t>15．</w:t>
      </w:r>
      <w:bookmarkStart w:id="93"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93"/>
    <w:p>
      <w:pPr>
        <w:rPr>
          <w:rFonts w:ascii="黑体" w:hAnsi="宋体" w:eastAsia="黑体"/>
          <w:sz w:val="24"/>
        </w:rPr>
      </w:pPr>
      <w:r>
        <w:rPr>
          <w:rFonts w:hint="eastAsia" w:ascii="黑体" w:hAnsi="宋体" w:eastAsia="黑体"/>
          <w:sz w:val="24"/>
        </w:rPr>
        <w:t>18．</w:t>
      </w:r>
      <w:bookmarkStart w:id="94"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94"/>
    <w:p>
      <w:pPr>
        <w:rPr>
          <w:rFonts w:ascii="黑体" w:hAnsi="宋体" w:eastAsia="黑体"/>
          <w:sz w:val="24"/>
        </w:rPr>
      </w:pPr>
      <w:r>
        <w:rPr>
          <w:rFonts w:hint="eastAsia" w:ascii="黑体" w:hAnsi="宋体" w:eastAsia="黑体"/>
          <w:sz w:val="24"/>
        </w:rPr>
        <w:t>19．</w:t>
      </w:r>
      <w:bookmarkStart w:id="95"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96" w:name="_Hlk71407299"/>
    </w:p>
    <w:bookmarkEnd w:id="96"/>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95"/>
    <w:p>
      <w:pPr>
        <w:ind w:firstLine="411" w:firstLineChars="196"/>
        <w:rPr>
          <w:rFonts w:ascii="宋体" w:hAnsi="宋体"/>
          <w:szCs w:val="21"/>
        </w:rPr>
      </w:pPr>
      <w:bookmarkStart w:id="97"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97"/>
    <w:p>
      <w:pPr>
        <w:rPr>
          <w:rFonts w:ascii="黑体" w:hAnsi="宋体" w:eastAsia="黑体"/>
          <w:sz w:val="24"/>
        </w:rPr>
      </w:pPr>
      <w:r>
        <w:rPr>
          <w:rFonts w:hint="eastAsia" w:ascii="黑体" w:hAnsi="宋体" w:eastAsia="黑体"/>
          <w:sz w:val="24"/>
        </w:rPr>
        <w:t>21．</w:t>
      </w:r>
      <w:bookmarkStart w:id="98"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 </w:t>
      </w:r>
      <w:r>
        <w:rPr>
          <w:rFonts w:hint="eastAsia"/>
        </w:rPr>
        <w:t>根据《</w:t>
      </w:r>
      <w:r>
        <w:t>深圳市财政局关于明确政府采购保证金管理工作的通知</w:t>
      </w:r>
      <w:r>
        <w:rPr>
          <w:rFonts w:hint="eastAsia"/>
        </w:rPr>
        <w:t>》（深财购[</w:t>
      </w:r>
      <w:r>
        <w:t>2019]42</w:t>
      </w:r>
      <w:r>
        <w:rPr>
          <w:rFonts w:hint="eastAsia"/>
        </w:rPr>
        <w:t>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98"/>
    <w:p>
      <w:pPr>
        <w:rPr>
          <w:rFonts w:ascii="黑体" w:hAnsi="宋体" w:eastAsia="黑体"/>
          <w:sz w:val="24"/>
        </w:rPr>
      </w:pPr>
      <w:r>
        <w:rPr>
          <w:rFonts w:hint="eastAsia" w:ascii="黑体" w:hAnsi="宋体" w:eastAsia="黑体"/>
          <w:sz w:val="24"/>
        </w:rPr>
        <w:t>23．</w:t>
      </w:r>
      <w:bookmarkStart w:id="99"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此电子投标文件须由投标人根据政府集中采购机构提供的后缀名为.zbs的电子招标文件、《投标书编制软件》编制【要求下载安装《投标书编制软件》及其配套软件，使用电子密钥登录</w:t>
      </w:r>
      <w:r>
        <w:rPr>
          <w:rFonts w:hint="eastAsia" w:ascii="宋体" w:hAnsi="宋体"/>
          <w:szCs w:val="21"/>
        </w:rPr>
        <w:t>深圳交易集团有限公司政府采购业务分公司网站（</w:t>
      </w:r>
      <w:r>
        <w:rPr>
          <w:rFonts w:ascii="宋体" w:hAnsi="宋体"/>
          <w:szCs w:val="21"/>
        </w:rPr>
        <w:t>http://www.szggzy.com/</w:t>
      </w:r>
      <w:r>
        <w:rPr>
          <w:rFonts w:hint="eastAsia" w:ascii="宋体" w:hAnsi="宋体"/>
          <w:szCs w:val="21"/>
        </w:rPr>
        <w:t>），然后在右侧的“</w:t>
      </w:r>
      <w:r>
        <w:rPr>
          <w:rFonts w:hint="eastAsia"/>
        </w:rPr>
        <w:t>相关链接”栏目中</w:t>
      </w:r>
      <w:r>
        <w:rPr>
          <w:rFonts w:hint="eastAsia" w:ascii="宋体" w:hAnsi="宋体"/>
        </w:rPr>
        <w:t>下载。在安装此软件之前，须先安装</w:t>
      </w:r>
      <w:r>
        <w:rPr>
          <w:rFonts w:ascii="宋体" w:hAnsi="宋体"/>
        </w:rPr>
        <w:t>Adobe Reader 7.0</w:t>
      </w:r>
      <w:r>
        <w:rPr>
          <w:rFonts w:hint="eastAsia" w:ascii="宋体" w:hAnsi="宋体"/>
        </w:rPr>
        <w:t>以上版本】。</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23.2.5完整填写“投标关键信息”，如下图所示：</w:t>
      </w:r>
    </w:p>
    <w:p>
      <w:pPr>
        <w:ind w:firstLine="411" w:firstLineChars="196"/>
        <w:rPr>
          <w:rFonts w:ascii="宋体" w:hAnsi="宋体"/>
        </w:rPr>
      </w:pPr>
      <w:r>
        <w:rPr>
          <w:rFonts w:hint="eastAsia" w:ascii="宋体" w:hAnsi="宋体"/>
        </w:rPr>
        <w:t>（1）货物类</w:t>
      </w:r>
    </w:p>
    <w:p>
      <w:pPr>
        <w:ind w:firstLine="411" w:firstLineChars="196"/>
        <w:rPr>
          <w:rFonts w:ascii="宋体" w:hAnsi="宋体"/>
        </w:rPr>
      </w:pPr>
      <w:r>
        <w:rPr>
          <w:rFonts w:ascii="宋体" w:hAnsi="宋体"/>
        </w:rPr>
        <w:drawing>
          <wp:inline distT="0" distB="0" distL="0" distR="0">
            <wp:extent cx="5276215" cy="3524250"/>
            <wp:effectExtent l="19050" t="0" r="2" b="0"/>
            <wp:docPr id="1" name="图片 4"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weixun\Documents\Tencent Files\175277410\Image\C2C\Image1\T_D}XAT_OUE)6}FU%{YJA`W.jpg"/>
                    <pic:cNvPicPr>
                      <a:picLocks noChangeAspect="1" noChangeArrowheads="1"/>
                    </pic:cNvPicPr>
                  </pic:nvPicPr>
                  <pic:blipFill>
                    <a:blip r:embed="rId8" cstate="print"/>
                    <a:srcRect/>
                    <a:stretch>
                      <a:fillRect/>
                    </a:stretch>
                  </pic:blipFill>
                  <pic:spPr>
                    <a:xfrm>
                      <a:off x="0" y="0"/>
                      <a:ext cx="5278755" cy="3525523"/>
                    </a:xfrm>
                    <a:prstGeom prst="rect">
                      <a:avLst/>
                    </a:prstGeom>
                    <a:noFill/>
                    <a:ln w="9525">
                      <a:noFill/>
                      <a:miter lim="800000"/>
                      <a:headEnd/>
                      <a:tailEnd/>
                    </a:ln>
                  </pic:spPr>
                </pic:pic>
              </a:graphicData>
            </a:graphic>
          </wp:inline>
        </w:drawing>
      </w:r>
    </w:p>
    <w:p>
      <w:pPr>
        <w:ind w:firstLine="413" w:firstLineChars="196"/>
        <w:rPr>
          <w:rFonts w:ascii="宋体" w:hAnsi="宋体"/>
          <w:b/>
        </w:rPr>
      </w:pPr>
      <w:r>
        <w:rPr>
          <w:rFonts w:hint="eastAsia" w:ascii="宋体" w:hAnsi="宋体"/>
          <w:b/>
        </w:rPr>
        <w:t>备注：上述“开标一览表”中的“投标总价”将作为价格分计算依据；其它信息仅是对投标文件相关内容的概括性表述，不作为评审依据。</w:t>
      </w:r>
    </w:p>
    <w:p>
      <w:pPr>
        <w:ind w:firstLine="413" w:firstLineChars="196"/>
        <w:rPr>
          <w:rFonts w:ascii="宋体" w:hAnsi="宋体"/>
          <w:b/>
        </w:rPr>
      </w:pPr>
    </w:p>
    <w:p>
      <w:pPr>
        <w:ind w:firstLine="411" w:firstLineChars="196"/>
        <w:rPr>
          <w:rFonts w:ascii="宋体" w:hAnsi="宋体"/>
        </w:rPr>
      </w:pPr>
    </w:p>
    <w:p>
      <w:pPr>
        <w:rPr>
          <w:rFonts w:ascii="宋体" w:hAnsi="宋体"/>
        </w:rPr>
      </w:pPr>
    </w:p>
    <w:p>
      <w:pPr>
        <w:ind w:firstLine="411" w:firstLineChars="196"/>
        <w:rPr>
          <w:rFonts w:ascii="宋体" w:hAnsi="宋体"/>
        </w:rPr>
      </w:pPr>
      <w:r>
        <w:rPr>
          <w:rFonts w:hint="eastAsia" w:ascii="宋体" w:hAnsi="宋体"/>
        </w:rPr>
        <w:t>（2）服务类</w:t>
      </w:r>
    </w:p>
    <w:p>
      <w:pPr>
        <w:widowControl/>
        <w:jc w:val="left"/>
        <w:rPr>
          <w:rFonts w:ascii="宋体" w:hAnsi="宋体" w:cs="宋体"/>
          <w:kern w:val="0"/>
          <w:sz w:val="24"/>
        </w:rPr>
      </w:pPr>
      <w:r>
        <w:rPr>
          <w:rFonts w:ascii="宋体" w:hAnsi="宋体" w:cs="宋体"/>
          <w:kern w:val="0"/>
          <w:sz w:val="24"/>
        </w:rPr>
        <w:drawing>
          <wp:inline distT="0" distB="0" distL="0" distR="0">
            <wp:extent cx="5273675" cy="3667125"/>
            <wp:effectExtent l="19050" t="0" r="2966"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9" cstate="print"/>
                    <a:srcRect/>
                    <a:stretch>
                      <a:fillRect/>
                    </a:stretch>
                  </pic:blipFill>
                  <pic:spPr>
                    <a:xfrm>
                      <a:off x="0" y="0"/>
                      <a:ext cx="5278754" cy="3670511"/>
                    </a:xfrm>
                    <a:prstGeom prst="rect">
                      <a:avLst/>
                    </a:prstGeom>
                    <a:noFill/>
                    <a:ln w="9525">
                      <a:noFill/>
                      <a:miter lim="800000"/>
                      <a:headEnd/>
                      <a:tailEnd/>
                    </a:ln>
                  </pic:spPr>
                </pic:pic>
              </a:graphicData>
            </a:graphic>
          </wp:inline>
        </w:drawing>
      </w:r>
    </w:p>
    <w:p>
      <w:pPr>
        <w:ind w:firstLine="413" w:firstLineChars="196"/>
        <w:rPr>
          <w:rFonts w:ascii="宋体" w:hAnsi="宋体"/>
          <w:b/>
        </w:rPr>
      </w:pPr>
      <w:r>
        <w:rPr>
          <w:rFonts w:hint="eastAsia" w:ascii="宋体" w:hAnsi="宋体"/>
          <w:b/>
        </w:rPr>
        <w:t>备注：上述“开标一览表”中的“投标总价”将作为价格分计算依据；其它信息仅是对投标文件相关内容的概括性表述，不作为评审依据。</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99"/>
    </w:p>
    <w:p>
      <w:pPr>
        <w:ind w:firstLine="411" w:firstLineChars="196"/>
        <w:rPr>
          <w:rFonts w:ascii="宋体" w:hAnsi="宋体"/>
          <w:szCs w:val="21"/>
        </w:rPr>
      </w:pPr>
    </w:p>
    <w:p>
      <w:pPr>
        <w:pStyle w:val="5"/>
        <w:numPr>
          <w:ilvl w:val="0"/>
          <w:numId w:val="21"/>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100" w:name="_Hlk72405459"/>
      <w:r>
        <w:rPr>
          <w:rFonts w:hint="eastAsia" w:ascii="黑体" w:hAnsi="宋体" w:eastAsia="黑体"/>
          <w:sz w:val="24"/>
        </w:rPr>
        <w:t>24．投标文件的保密</w:t>
      </w:r>
    </w:p>
    <w:p>
      <w:pPr>
        <w:ind w:firstLine="411" w:firstLineChars="196"/>
        <w:rPr>
          <w:rFonts w:ascii="宋体" w:hAnsi="宋体"/>
        </w:rPr>
      </w:pPr>
      <w:r>
        <w:rPr>
          <w:rFonts w:hint="eastAsia" w:ascii="宋体" w:hAnsi="宋体"/>
        </w:rPr>
        <w:t>24.1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p>
    <w:p>
      <w:pPr>
        <w:widowControl/>
        <w:jc w:val="left"/>
        <w:rPr>
          <w:rFonts w:ascii="宋体" w:hAnsi="宋体" w:cs="宋体"/>
          <w:kern w:val="0"/>
          <w:sz w:val="24"/>
        </w:rPr>
      </w:pPr>
      <w:r>
        <w:rPr>
          <w:rFonts w:ascii="宋体" w:hAnsi="宋体" w:cs="宋体"/>
          <w:kern w:val="0"/>
          <w:sz w:val="24"/>
        </w:rPr>
        <w:drawing>
          <wp:inline distT="0" distB="0" distL="0" distR="0">
            <wp:extent cx="4991100" cy="3933825"/>
            <wp:effectExtent l="19050" t="0" r="0" b="0"/>
            <wp:docPr id="4" name="图片 1"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AppData\Local\Temp\WeChat Files\0f46208c35b849896d64636a0e3bb87.jpg"/>
                    <pic:cNvPicPr>
                      <a:picLocks noChangeAspect="1" noChangeArrowheads="1"/>
                    </pic:cNvPicPr>
                  </pic:nvPicPr>
                  <pic:blipFill>
                    <a:blip r:embed="rId10" cstate="print"/>
                    <a:srcRect/>
                    <a:stretch>
                      <a:fillRect/>
                    </a:stretch>
                  </pic:blipFill>
                  <pic:spPr>
                    <a:xfrm>
                      <a:off x="0" y="0"/>
                      <a:ext cx="4991100" cy="3933825"/>
                    </a:xfrm>
                    <a:prstGeom prst="rect">
                      <a:avLst/>
                    </a:prstGeom>
                    <a:noFill/>
                    <a:ln w="9525">
                      <a:noFill/>
                      <a:miter lim="800000"/>
                      <a:headEnd/>
                      <a:tailEnd/>
                    </a:ln>
                  </pic:spPr>
                </pic:pic>
              </a:graphicData>
            </a:graphic>
          </wp:inline>
        </w:drawing>
      </w:r>
    </w:p>
    <w:p>
      <w:pPr>
        <w:rPr>
          <w:sz w:val="24"/>
        </w:rPr>
      </w:pPr>
    </w:p>
    <w:p>
      <w:pPr>
        <w:rPr>
          <w:sz w:val="24"/>
        </w:rPr>
      </w:pPr>
      <w:r>
        <w:rPr>
          <w:sz w:val="24"/>
        </w:rPr>
        <w:drawing>
          <wp:inline distT="0" distB="0" distL="0" distR="0">
            <wp:extent cx="4495800" cy="2171700"/>
            <wp:effectExtent l="19050" t="0" r="0" b="0"/>
            <wp:docPr id="5" name="图片 2"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eixun\AppData\Local\Temp\WeChat Files\17bf5d9a0536cc3e4cdd2781a40dd7f.jpg"/>
                    <pic:cNvPicPr>
                      <a:picLocks noChangeAspect="1" noChangeArrowheads="1"/>
                    </pic:cNvPicPr>
                  </pic:nvPicPr>
                  <pic:blipFill>
                    <a:blip r:embed="rId11" cstate="print"/>
                    <a:srcRect/>
                    <a:stretch>
                      <a:fillRect/>
                    </a:stretch>
                  </pic:blipFill>
                  <pic:spPr>
                    <a:xfrm>
                      <a:off x="0" y="0"/>
                      <a:ext cx="4495800" cy="2171700"/>
                    </a:xfrm>
                    <a:prstGeom prst="rect">
                      <a:avLst/>
                    </a:prstGeom>
                    <a:noFill/>
                    <a:ln w="9525">
                      <a:noFill/>
                      <a:miter lim="800000"/>
                      <a:headEnd/>
                      <a:tailEnd/>
                    </a:ln>
                  </pic:spPr>
                </pic:pic>
              </a:graphicData>
            </a:graphic>
          </wp:inline>
        </w:drawing>
      </w:r>
    </w:p>
    <w:p>
      <w:pPr>
        <w:rPr>
          <w:rFonts w:ascii="宋体" w:hAnsi="宋体"/>
          <w:b/>
        </w:rPr>
      </w:pPr>
      <w:r>
        <w:rPr>
          <w:rFonts w:hint="eastAsia" w:ascii="宋体" w:hAnsi="宋体"/>
        </w:rPr>
        <w:t xml:space="preserve">   </w:t>
      </w:r>
      <w:r>
        <w:rPr>
          <w:rFonts w:hint="eastAsia" w:ascii="宋体" w:hAnsi="宋体"/>
          <w:b/>
        </w:rPr>
        <w:t xml:space="preserve"> 24.2若采购项目出现延期情况：</w:t>
      </w:r>
    </w:p>
    <w:p>
      <w:pPr>
        <w:ind w:firstLine="422" w:firstLineChars="200"/>
        <w:rPr>
          <w:rFonts w:ascii="黑体" w:hAnsi="宋体" w:eastAsia="黑体"/>
          <w:b/>
          <w:sz w:val="24"/>
        </w:rPr>
      </w:pPr>
      <w:r>
        <w:rPr>
          <w:rFonts w:hint="eastAsia" w:ascii="宋体" w:hAnsi="宋体"/>
          <w:b/>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w:t>
      </w:r>
      <w:r>
        <w:rPr>
          <w:rFonts w:hint="eastAsia" w:ascii="宋体" w:hAnsi="宋体"/>
          <w:b/>
          <w:bCs/>
          <w:szCs w:val="21"/>
        </w:rPr>
        <w:t>深圳公共资源交易中心（深圳交易集团有限公司</w:t>
      </w:r>
      <w:r>
        <w:rPr>
          <w:rFonts w:hint="eastAsia" w:ascii="宋体" w:hAnsi="宋体"/>
          <w:b/>
          <w:bCs/>
          <w:szCs w:val="21"/>
          <w:lang w:eastAsia="zh-CN"/>
        </w:rPr>
        <w:t>坪山</w:t>
      </w:r>
      <w:r>
        <w:rPr>
          <w:rFonts w:hint="eastAsia" w:ascii="宋体" w:hAnsi="宋体"/>
          <w:b/>
          <w:bCs/>
          <w:szCs w:val="21"/>
        </w:rPr>
        <w:t>分公司）</w:t>
      </w:r>
      <w:r>
        <w:rPr>
          <w:rFonts w:hint="eastAsia" w:ascii="宋体" w:hAnsi="宋体"/>
        </w:rPr>
        <w:t>网站”</w:t>
      </w:r>
      <w:r>
        <w:rPr>
          <w:rFonts w:hint="eastAsia" w:ascii="宋体" w:hAnsi="宋体"/>
          <w:b/>
          <w:bCs/>
          <w:szCs w:val="21"/>
        </w:rPr>
        <w:t>（</w:t>
      </w:r>
      <w:r>
        <w:rPr>
          <w:rFonts w:ascii="宋体" w:hAnsi="宋体"/>
          <w:b/>
          <w:bCs/>
          <w:szCs w:val="21"/>
        </w:rPr>
        <w:t>http://www.szggzy.com/</w:t>
      </w:r>
      <w:r>
        <w:rPr>
          <w:rFonts w:hint="eastAsia" w:ascii="宋体" w:hAnsi="宋体"/>
          <w:b/>
          <w:bCs/>
          <w:szCs w:val="21"/>
        </w:rPr>
        <w:t>）</w:t>
      </w:r>
      <w:r>
        <w:rPr>
          <w:rFonts w:hint="eastAsia" w:ascii="宋体" w:hAnsi="宋体"/>
        </w:rPr>
        <w:t>，使用“应标管理”</w:t>
      </w:r>
      <w:r>
        <w:rPr>
          <w:rFonts w:ascii="宋体" w:hAnsi="宋体"/>
        </w:rPr>
        <w:t>—</w:t>
      </w:r>
      <w:r>
        <w:rPr>
          <w:rFonts w:hint="eastAsia" w:ascii="宋体" w:hAnsi="宋体"/>
        </w:rPr>
        <w:t>》“上传投标文件”功能点上传投标文件。如果没有该功能点，请用本公司的机构管理员在 “系统维护”</w:t>
      </w:r>
      <w:r>
        <w:rPr>
          <w:rFonts w:ascii="宋体" w:hAnsi="宋体"/>
        </w:rPr>
        <w:t>—</w:t>
      </w:r>
      <w:r>
        <w:rPr>
          <w:rFonts w:hint="eastAsia" w:ascii="宋体" w:hAnsi="宋体"/>
        </w:rPr>
        <w:t>》“修改用户权限”中增加该功能点，如果增加不成功，请在工作日与政府集中采购机构联系。如果确有困难，多次上传均告失败，请在投标截止时间之前携带加密后的电子投标文件送达至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eastAsia="zh-CN"/>
        </w:rPr>
        <w:t>坪山</w:t>
      </w:r>
      <w:r>
        <w:rPr>
          <w:rFonts w:hint="eastAsia" w:ascii="宋体" w:hAnsi="宋体"/>
          <w:b/>
          <w:bCs/>
          <w:szCs w:val="21"/>
        </w:rPr>
        <w:t>分公司）</w:t>
      </w:r>
      <w:r>
        <w:rPr>
          <w:rFonts w:hint="eastAsia" w:ascii="宋体" w:hAnsi="宋体"/>
          <w:b/>
          <w:bCs/>
          <w:lang w:val="en-US" w:eastAsia="zh-CN"/>
        </w:rPr>
        <w:t>8</w:t>
      </w:r>
      <w:r>
        <w:rPr>
          <w:rFonts w:hint="eastAsia" w:ascii="宋体" w:hAnsi="宋体"/>
          <w:b/>
          <w:bCs/>
        </w:rPr>
        <w:t>楼</w:t>
      </w:r>
      <w:r>
        <w:rPr>
          <w:rFonts w:hint="eastAsia" w:ascii="宋体" w:hAnsi="宋体"/>
          <w:b/>
          <w:bCs/>
          <w:lang w:val="en-US" w:eastAsia="zh-CN"/>
        </w:rPr>
        <w:t>802</w:t>
      </w:r>
      <w:r>
        <w:rPr>
          <w:rFonts w:hint="eastAsia" w:ascii="宋体" w:hAnsi="宋体"/>
          <w:b/>
          <w:bCs/>
        </w:rPr>
        <w:t>室（地址：</w:t>
      </w:r>
      <w:r>
        <w:rPr>
          <w:rFonts w:hint="eastAsia" w:ascii="宋体" w:hAnsi="宋体"/>
          <w:b/>
          <w:bCs/>
          <w:lang w:eastAsia="zh-CN"/>
        </w:rPr>
        <w:t>深圳市坪山区东纵路</w:t>
      </w:r>
      <w:r>
        <w:rPr>
          <w:rFonts w:hint="eastAsia" w:ascii="宋体" w:hAnsi="宋体"/>
          <w:b/>
          <w:bCs/>
          <w:lang w:val="en-US" w:eastAsia="zh-CN"/>
        </w:rPr>
        <w:t>147号旭丰楼B座802</w:t>
      </w:r>
      <w:r>
        <w:rPr>
          <w:rFonts w:hint="eastAsia" w:ascii="宋体" w:hAnsi="宋体"/>
          <w:b/>
          <w:bCs/>
        </w:rPr>
        <w:t>）</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bookmarkEnd w:id="100"/>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101"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101"/>
    <w:p>
      <w:pPr>
        <w:pStyle w:val="5"/>
        <w:numPr>
          <w:ilvl w:val="0"/>
          <w:numId w:val="21"/>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1政府集中采购机构将在投标截止时间后，对投标文件进行解密，开标，并在网上公布开标结果。</w:t>
      </w:r>
    </w:p>
    <w:p>
      <w:pPr>
        <w:ind w:firstLine="315" w:firstLineChars="150"/>
        <w:rPr>
          <w:rFonts w:ascii="宋体" w:hAnsi="宋体"/>
          <w:szCs w:val="21"/>
        </w:rPr>
      </w:pPr>
      <w:r>
        <w:rPr>
          <w:rFonts w:hint="eastAsia" w:ascii="宋体" w:hAnsi="宋体"/>
          <w:szCs w:val="21"/>
        </w:rPr>
        <w:t>28.2 网上投标的，当政府集中采购机构开标后，投标人即可登录“</w:t>
      </w:r>
      <w:r>
        <w:rPr>
          <w:rFonts w:hint="eastAsia" w:ascii="宋体" w:hAnsi="宋体"/>
          <w:b/>
          <w:bCs/>
          <w:color w:val="FF0000"/>
          <w:szCs w:val="21"/>
        </w:rPr>
        <w:t>深圳公共资源交易中心（深圳交易集团有限公司</w:t>
      </w:r>
      <w:r>
        <w:rPr>
          <w:rFonts w:hint="eastAsia" w:ascii="宋体" w:hAnsi="宋体"/>
          <w:b/>
          <w:bCs/>
          <w:color w:val="FF0000"/>
          <w:szCs w:val="21"/>
          <w:lang w:eastAsia="zh-CN"/>
        </w:rPr>
        <w:t>坪山</w:t>
      </w:r>
      <w:r>
        <w:rPr>
          <w:rFonts w:hint="eastAsia" w:ascii="宋体" w:hAnsi="宋体"/>
          <w:b/>
          <w:bCs/>
          <w:color w:val="FF0000"/>
          <w:szCs w:val="21"/>
        </w:rPr>
        <w:t>分公司）网站</w:t>
      </w:r>
      <w:r>
        <w:rPr>
          <w:rFonts w:hint="eastAsia" w:ascii="宋体" w:hAnsi="宋体"/>
          <w:szCs w:val="21"/>
        </w:rPr>
        <w:t>”，使用“应标管理</w:t>
      </w:r>
      <w:r>
        <w:rPr>
          <w:rFonts w:ascii="宋体" w:hAnsi="宋体"/>
          <w:szCs w:val="21"/>
        </w:rPr>
        <w:sym w:font="Wingdings" w:char="F0E0"/>
      </w:r>
      <w:r>
        <w:rPr>
          <w:rFonts w:hint="eastAsia" w:ascii="宋体" w:hAnsi="宋体"/>
          <w:szCs w:val="21"/>
        </w:rPr>
        <w:t>浏览开标一览表</w:t>
      </w:r>
      <w:r>
        <w:rPr>
          <w:rFonts w:ascii="宋体" w:hAnsi="宋体"/>
          <w:szCs w:val="21"/>
        </w:rPr>
        <w:t>”</w:t>
      </w:r>
      <w:r>
        <w:rPr>
          <w:rFonts w:hint="eastAsia" w:ascii="宋体" w:hAnsi="宋体"/>
          <w:szCs w:val="21"/>
        </w:rPr>
        <w:t>功能点查看开标一览表。</w:t>
      </w:r>
    </w:p>
    <w:p>
      <w:pPr>
        <w:ind w:firstLine="315" w:firstLineChars="150"/>
        <w:rPr>
          <w:rFonts w:ascii="宋体" w:hAnsi="宋体"/>
          <w:szCs w:val="21"/>
        </w:rPr>
      </w:pPr>
    </w:p>
    <w:p>
      <w:pPr>
        <w:pStyle w:val="5"/>
        <w:numPr>
          <w:ilvl w:val="0"/>
          <w:numId w:val="21"/>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102"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102"/>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5"/>
        <w:numPr>
          <w:ilvl w:val="0"/>
          <w:numId w:val="21"/>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ind w:firstLine="411" w:firstLineChars="196"/>
        <w:rPr>
          <w:rFonts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103"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103"/>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104" w:name="_Toc73518151"/>
      <w:bookmarkStart w:id="105" w:name="_Toc100052400"/>
      <w:bookmarkStart w:id="106" w:name="_Toc73521669"/>
      <w:bookmarkStart w:id="107" w:name="_Toc73521581"/>
      <w:bookmarkStart w:id="108" w:name="_Toc73517673"/>
      <w:r>
        <w:rPr>
          <w:rFonts w:hint="eastAsia" w:ascii="黑体" w:hAnsi="宋体" w:eastAsia="黑体"/>
          <w:sz w:val="24"/>
        </w:rPr>
        <w:t>34．错误的修正</w:t>
      </w:r>
      <w:bookmarkEnd w:id="104"/>
      <w:bookmarkEnd w:id="105"/>
      <w:bookmarkEnd w:id="106"/>
      <w:bookmarkEnd w:id="107"/>
      <w:bookmarkEnd w:id="108"/>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109"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109"/>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5"/>
        <w:numPr>
          <w:ilvl w:val="0"/>
          <w:numId w:val="21"/>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110"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111" w:name="_Hlk73821177"/>
      <w:r>
        <w:rPr>
          <w:rFonts w:hint="eastAsia" w:ascii="ˎ̥" w:hAnsi="ˎ̥"/>
        </w:rPr>
        <w:t>中标供应商</w:t>
      </w:r>
      <w:r>
        <w:rPr>
          <w:rFonts w:ascii="ˎ̥" w:hAnsi="ˎ̥"/>
        </w:rPr>
        <w:t>（</w:t>
      </w:r>
      <w:r>
        <w:rPr>
          <w:rFonts w:hint="eastAsia" w:ascii="ˎ̥" w:hAnsi="ˎ̥"/>
        </w:rPr>
        <w:t>排名</w:t>
      </w:r>
      <w:r>
        <w:rPr>
          <w:rFonts w:ascii="ˎ̥" w:hAnsi="ˎ̥"/>
        </w:rPr>
        <w:t>第二</w:t>
      </w:r>
      <w:r>
        <w:rPr>
          <w:rFonts w:hint="eastAsia" w:ascii="ˎ̥" w:hAnsi="ˎ̥"/>
        </w:rPr>
        <w:t>的投标人为第一替补中标候选人、排名</w:t>
      </w:r>
      <w:r>
        <w:rPr>
          <w:rFonts w:ascii="ˎ̥" w:hAnsi="ˎ̥"/>
        </w:rPr>
        <w:t>第</w:t>
      </w:r>
      <w:r>
        <w:rPr>
          <w:rFonts w:hint="eastAsia" w:ascii="ˎ̥" w:hAnsi="ˎ̥"/>
        </w:rPr>
        <w:t>三的投标人为第二替补中标候选人</w:t>
      </w:r>
      <w:bookmarkEnd w:id="111"/>
      <w:r>
        <w:rPr>
          <w:rFonts w:ascii="ˎ̥" w:hAnsi="ˎ̥"/>
        </w:rPr>
        <w:t>）。</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为中标供应商</w:t>
      </w:r>
      <w:r>
        <w:rPr>
          <w:rFonts w:ascii="ˎ̥" w:hAnsi="ˎ̥"/>
        </w:rPr>
        <w:t>（</w:t>
      </w:r>
      <w:r>
        <w:rPr>
          <w:rFonts w:hint="eastAsia" w:ascii="ˎ̥" w:hAnsi="ˎ̥"/>
        </w:rPr>
        <w:t>排名</w:t>
      </w:r>
      <w:r>
        <w:rPr>
          <w:rFonts w:ascii="ˎ̥" w:hAnsi="ˎ̥"/>
        </w:rPr>
        <w:t>第二</w:t>
      </w:r>
      <w:r>
        <w:rPr>
          <w:rFonts w:hint="eastAsia" w:ascii="ˎ̥" w:hAnsi="ˎ̥"/>
        </w:rPr>
        <w:t>的投标人为第一替补中标候选人、排名</w:t>
      </w:r>
      <w:r>
        <w:rPr>
          <w:rFonts w:ascii="ˎ̥" w:hAnsi="ˎ̥"/>
        </w:rPr>
        <w:t>第</w:t>
      </w:r>
      <w:r>
        <w:rPr>
          <w:rFonts w:hint="eastAsia" w:ascii="ˎ̥" w:hAnsi="ˎ̥"/>
        </w:rPr>
        <w:t>三的投标人为第二替补中标候选人</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112"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113"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112"/>
      <w:bookmarkEnd w:id="113"/>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110"/>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114"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深圳公共资源交易中心（深圳交易集团有限公司政府采购业务分公司）网站（</w:t>
      </w:r>
      <w:r>
        <w:rPr>
          <w:rFonts w:ascii="宋体" w:hAnsi="宋体"/>
          <w:b/>
          <w:bCs/>
          <w:szCs w:val="21"/>
        </w:rPr>
        <w:t>http://www.szggzy.com/</w:t>
      </w:r>
      <w:r>
        <w:rPr>
          <w:rFonts w:hint="eastAsia" w:ascii="宋体" w:hAnsi="宋体"/>
          <w:b/>
          <w:bCs/>
          <w:szCs w:val="21"/>
        </w:rPr>
        <w:t>）</w:t>
      </w:r>
      <w:r>
        <w:rPr>
          <w:rFonts w:hint="eastAsia" w:ascii="宋体" w:hAnsi="宋体"/>
          <w:szCs w:val="21"/>
        </w:rPr>
        <w:t>上发布中标结果公告。</w:t>
      </w:r>
      <w:bookmarkEnd w:id="114"/>
      <w:bookmarkStart w:id="115"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115"/>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116" w:name="_Hlk72438863"/>
      <w:r>
        <w:rPr>
          <w:rFonts w:hint="eastAsia" w:ascii="宋体" w:hAnsi="宋体"/>
          <w:szCs w:val="21"/>
        </w:rPr>
        <w:t>中标公告公布以后无异常的情况下,中标供应商和采购人可自行在</w:t>
      </w:r>
      <w:r>
        <w:rPr>
          <w:rFonts w:hint="eastAsia" w:ascii="宋体" w:hAnsi="宋体"/>
          <w:b/>
          <w:bCs/>
          <w:szCs w:val="21"/>
        </w:rPr>
        <w:t>深圳公共资源交易中心（深圳交易集团有限公司政府采购业务分公司）网站（</w:t>
      </w:r>
      <w:r>
        <w:rPr>
          <w:rFonts w:ascii="宋体" w:hAnsi="宋体"/>
          <w:b/>
          <w:bCs/>
          <w:szCs w:val="21"/>
        </w:rPr>
        <w:t>http://www.szggzy.com/</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咨询电话：</w:t>
      </w:r>
      <w:r>
        <w:rPr>
          <w:rFonts w:hint="eastAsia" w:ascii="宋体" w:hAnsi="宋体"/>
          <w:b/>
          <w:bCs/>
          <w:szCs w:val="21"/>
        </w:rPr>
        <w:t>0755-83938599，83948100，83938584</w:t>
      </w:r>
      <w:r>
        <w:rPr>
          <w:rFonts w:hint="eastAsia" w:ascii="宋体" w:hAnsi="宋体"/>
          <w:szCs w:val="21"/>
        </w:rPr>
        <w:t>）。</w:t>
      </w:r>
      <w:bookmarkEnd w:id="116"/>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117" w:name="_Hlk71407340"/>
      <w:r>
        <w:rPr>
          <w:rFonts w:hint="eastAsia" w:ascii="宋体" w:hAnsi="宋体"/>
          <w:szCs w:val="21"/>
        </w:rPr>
        <w:t>41.3因质疑投诉或其它原因导致项目结果变更或采购终止的，政府集中采购机构有权吊销中标通知书。</w:t>
      </w:r>
    </w:p>
    <w:bookmarkEnd w:id="117"/>
    <w:p>
      <w:pPr>
        <w:ind w:firstLine="411" w:firstLineChars="196"/>
        <w:rPr>
          <w:rFonts w:ascii="宋体" w:hAnsi="宋体"/>
          <w:szCs w:val="21"/>
        </w:rPr>
      </w:pPr>
    </w:p>
    <w:p>
      <w:pPr>
        <w:pStyle w:val="5"/>
        <w:numPr>
          <w:ilvl w:val="0"/>
          <w:numId w:val="21"/>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5"/>
        <w:numPr>
          <w:ilvl w:val="0"/>
          <w:numId w:val="21"/>
        </w:numPr>
        <w:spacing w:before="120" w:beforeLines="50" w:after="120" w:afterLines="50"/>
        <w:ind w:left="562" w:hanging="562"/>
        <w:rPr>
          <w:sz w:val="28"/>
          <w:szCs w:val="28"/>
        </w:rPr>
      </w:pPr>
      <w:bookmarkStart w:id="118" w:name="_Hlk72439043"/>
      <w:r>
        <w:rPr>
          <w:rFonts w:hint="eastAsia"/>
          <w:sz w:val="28"/>
          <w:szCs w:val="28"/>
        </w:rPr>
        <w:t>合同的授予与备案</w:t>
      </w:r>
      <w:bookmarkEnd w:id="118"/>
    </w:p>
    <w:p>
      <w:pPr>
        <w:rPr>
          <w:rFonts w:ascii="黑体" w:hAnsi="宋体" w:eastAsia="黑体"/>
          <w:sz w:val="24"/>
        </w:rPr>
      </w:pPr>
      <w:bookmarkStart w:id="119" w:name="_Toc73521586"/>
      <w:bookmarkStart w:id="120" w:name="_Toc73518157"/>
      <w:bookmarkStart w:id="121" w:name="_Toc73517679"/>
      <w:bookmarkStart w:id="122" w:name="_Toc100052408"/>
      <w:bookmarkStart w:id="123" w:name="_Toc73521674"/>
      <w:bookmarkStart w:id="124" w:name="_Hlk72439088"/>
      <w:r>
        <w:rPr>
          <w:rFonts w:hint="eastAsia" w:ascii="黑体" w:hAnsi="宋体" w:eastAsia="黑体"/>
          <w:sz w:val="24"/>
        </w:rPr>
        <w:t>43．合同授予标准</w:t>
      </w:r>
      <w:bookmarkEnd w:id="119"/>
      <w:bookmarkEnd w:id="120"/>
      <w:bookmarkEnd w:id="121"/>
      <w:bookmarkEnd w:id="122"/>
      <w:bookmarkEnd w:id="123"/>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125" w:name="_Toc73521587"/>
      <w:bookmarkStart w:id="126" w:name="_Toc100052409"/>
      <w:bookmarkStart w:id="127" w:name="_Toc73518158"/>
      <w:bookmarkStart w:id="128" w:name="_Toc73521675"/>
      <w:bookmarkStart w:id="129" w:name="_Toc73517680"/>
      <w:r>
        <w:rPr>
          <w:rFonts w:hint="eastAsia" w:ascii="黑体" w:hAnsi="宋体" w:eastAsia="黑体"/>
          <w:sz w:val="24"/>
        </w:rPr>
        <w:t>44．</w:t>
      </w:r>
      <w:bookmarkEnd w:id="125"/>
      <w:bookmarkEnd w:id="126"/>
      <w:bookmarkEnd w:id="127"/>
      <w:bookmarkEnd w:id="128"/>
      <w:bookmarkEnd w:id="129"/>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130" w:name="_Toc73517682"/>
      <w:bookmarkStart w:id="131" w:name="_Toc73518160"/>
      <w:bookmarkStart w:id="132" w:name="_Toc73521677"/>
      <w:bookmarkStart w:id="133" w:name="_Toc100052410"/>
      <w:bookmarkStart w:id="134" w:name="_Toc73521589"/>
      <w:r>
        <w:rPr>
          <w:rFonts w:hint="eastAsia" w:ascii="黑体" w:hAnsi="宋体" w:eastAsia="黑体"/>
          <w:sz w:val="24"/>
        </w:rPr>
        <w:t>45．合同的签订</w:t>
      </w:r>
      <w:bookmarkEnd w:id="130"/>
      <w:bookmarkEnd w:id="131"/>
      <w:bookmarkEnd w:id="132"/>
      <w:bookmarkEnd w:id="133"/>
      <w:bookmarkEnd w:id="134"/>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135" w:name="_Toc73521678"/>
      <w:bookmarkStart w:id="136" w:name="_Toc73517683"/>
      <w:bookmarkStart w:id="137" w:name="_Toc73521590"/>
      <w:bookmarkStart w:id="138" w:name="_Toc73518161"/>
      <w:bookmarkStart w:id="139" w:name="_Toc100052411"/>
      <w:r>
        <w:rPr>
          <w:rFonts w:hint="eastAsia" w:ascii="黑体" w:hAnsi="宋体" w:eastAsia="黑体"/>
          <w:sz w:val="24"/>
        </w:rPr>
        <w:t>46．履约担保</w:t>
      </w:r>
      <w:bookmarkEnd w:id="135"/>
      <w:bookmarkEnd w:id="136"/>
      <w:bookmarkEnd w:id="137"/>
      <w:bookmarkEnd w:id="138"/>
      <w:bookmarkEnd w:id="139"/>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ind w:firstLine="411" w:firstLineChars="196"/>
        <w:rPr>
          <w:rFonts w:ascii="宋体" w:hAnsi="宋体"/>
          <w:szCs w:val="21"/>
        </w:rPr>
      </w:pPr>
      <w:r>
        <w:rPr>
          <w:rFonts w:hint="eastAsia" w:ascii="宋体" w:hAnsi="宋体"/>
          <w:szCs w:val="21"/>
        </w:rPr>
        <w:t>采购人与中标人应于合同签订之日起十日内，由采购人或委托中标人将采购合同副本抄送合同备案工作实施机构备案。</w:t>
      </w:r>
    </w:p>
    <w:p>
      <w:pPr>
        <w:rPr>
          <w:rFonts w:ascii="黑体" w:hAnsi="宋体" w:eastAsia="黑体"/>
          <w:sz w:val="24"/>
        </w:rPr>
      </w:pP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 深圳市政府采购中心关于进一步加强市本级政府采购合同备案管理工作的通知》（深财购〔2019〕43号）相关规定执行。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根据《深圳市财政局关于明确政府采购保证金管理工作的通知》（深财购[2019]42号）的要求，供应商在政府采购活动中出现《深圳经济特区政府采购条例实施细则》第八十四条所列情形的，</w:t>
      </w:r>
      <w:bookmarkStart w:id="140" w:name="_Hlk72440769"/>
      <w:r>
        <w:rPr>
          <w:rFonts w:hint="eastAsia" w:ascii="宋体" w:hAnsi="宋体"/>
          <w:szCs w:val="21"/>
        </w:rPr>
        <w:t>采购人或政府集中采购机构</w:t>
      </w:r>
      <w:bookmarkEnd w:id="140"/>
      <w:r>
        <w:rPr>
          <w:rFonts w:hint="eastAsia" w:ascii="宋体" w:hAnsi="宋体"/>
          <w:szCs w:val="21"/>
        </w:rPr>
        <w:t>可将有关情况报同级财政部门，由财政部门根据实际情况记入供应商诚信档案，予以通报：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124"/>
    <w:p>
      <w:pPr>
        <w:pStyle w:val="5"/>
        <w:numPr>
          <w:ilvl w:val="0"/>
          <w:numId w:val="21"/>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bookmarkStart w:id="141" w:name="_Hlk72439706"/>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142" w:name="_Hlk75374941"/>
      <w:r>
        <w:rPr>
          <w:rFonts w:hint="eastAsia" w:ascii="宋体" w:hAnsi="宋体"/>
          <w:szCs w:val="21"/>
        </w:rPr>
        <w:t>以联合体形式参与的，质疑应当由组成联合体的所有成员共同提出</w:t>
      </w:r>
      <w:bookmarkEnd w:id="142"/>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eastAsia="zh-CN"/>
        </w:rPr>
        <w:t>坪山</w:t>
      </w:r>
      <w:r>
        <w:rPr>
          <w:rFonts w:hint="eastAsia" w:ascii="宋体" w:hAnsi="宋体"/>
          <w:b/>
          <w:bCs/>
          <w:szCs w:val="21"/>
        </w:rPr>
        <w:t>分公司）</w:t>
      </w:r>
      <w:r>
        <w:rPr>
          <w:rFonts w:hint="eastAsia" w:ascii="宋体" w:hAnsi="宋体"/>
          <w:b/>
          <w:bCs/>
          <w:szCs w:val="21"/>
          <w:lang w:val="en-US" w:eastAsia="zh-CN"/>
        </w:rPr>
        <w:t>8</w:t>
      </w:r>
      <w:r>
        <w:rPr>
          <w:rFonts w:hint="eastAsia" w:ascii="宋体" w:hAnsi="宋体"/>
          <w:b/>
          <w:bCs/>
          <w:szCs w:val="21"/>
        </w:rPr>
        <w:t>楼</w:t>
      </w:r>
      <w:r>
        <w:rPr>
          <w:rFonts w:hint="eastAsia" w:ascii="宋体" w:hAnsi="宋体"/>
          <w:b/>
          <w:bCs/>
          <w:szCs w:val="21"/>
          <w:lang w:val="en-US" w:eastAsia="zh-CN"/>
        </w:rPr>
        <w:t>802</w:t>
      </w:r>
      <w:r>
        <w:rPr>
          <w:rFonts w:hint="eastAsia" w:ascii="宋体" w:hAnsi="宋体"/>
          <w:b/>
          <w:bCs/>
          <w:szCs w:val="21"/>
        </w:rPr>
        <w:t>室，质疑咨询电话：0755-</w:t>
      </w:r>
      <w:r>
        <w:rPr>
          <w:rFonts w:hint="eastAsia" w:ascii="宋体" w:hAnsi="宋体"/>
          <w:b/>
          <w:bCs/>
          <w:szCs w:val="21"/>
          <w:lang w:val="en-US" w:eastAsia="zh-CN"/>
        </w:rPr>
        <w:t>89354133</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对质疑答复不满意或者未在规定时间内答复的，提出质疑的供应商可以在答复期满后15个工作日内向同级财政部门投诉。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rPr>
          <w:rFonts w:ascii="宋体" w:hAnsi="宋体"/>
          <w:szCs w:val="21"/>
        </w:rP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pStyle w:val="5"/>
        <w:keepNext/>
        <w:keepLines/>
        <w:numPr>
          <w:ilvl w:val="0"/>
          <w:numId w:val="21"/>
        </w:numPr>
        <w:tabs>
          <w:tab w:val="left" w:pos="3960"/>
          <w:tab w:val="clear" w:pos="720"/>
        </w:tabs>
        <w:spacing w:before="120" w:beforeLines="50" w:after="120" w:afterLines="50"/>
        <w:ind w:left="3030"/>
        <w:jc w:val="left"/>
        <w:rPr>
          <w:rFonts w:hint="eastAsia"/>
          <w:sz w:val="28"/>
          <w:szCs w:val="28"/>
        </w:rPr>
      </w:pPr>
      <w:bookmarkStart w:id="143" w:name="_Toc57050294"/>
      <w:bookmarkStart w:id="144" w:name="_Toc31365"/>
      <w:bookmarkStart w:id="145" w:name="_Toc482371459"/>
      <w:bookmarkStart w:id="146" w:name="_Toc1680"/>
      <w:bookmarkStart w:id="147" w:name="_Toc12615"/>
      <w:r>
        <w:rPr>
          <w:rFonts w:hint="eastAsia"/>
          <w:sz w:val="28"/>
          <w:szCs w:val="28"/>
        </w:rPr>
        <w:t>招标代理服务取费说明</w:t>
      </w:r>
      <w:bookmarkEnd w:id="143"/>
      <w:bookmarkEnd w:id="144"/>
      <w:bookmarkEnd w:id="145"/>
      <w:bookmarkEnd w:id="146"/>
      <w:bookmarkEnd w:id="147"/>
    </w:p>
    <w:p>
      <w:pPr>
        <w:rPr>
          <w:rFonts w:hint="eastAsia"/>
        </w:rPr>
      </w:pPr>
    </w:p>
    <w:p>
      <w:pPr>
        <w:pageBreakBefore w:val="0"/>
        <w:kinsoku/>
        <w:overflowPunct/>
        <w:topLinePunct w:val="0"/>
        <w:bidi w:val="0"/>
        <w:adjustRightInd/>
        <w:spacing w:beforeAutospacing="0" w:afterAutospacing="0" w:line="360" w:lineRule="auto"/>
        <w:ind w:left="0" w:leftChars="0" w:right="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w:t>
      </w:r>
      <w:r>
        <w:rPr>
          <w:rFonts w:ascii="宋体" w:hAnsi="宋体" w:eastAsia="宋体" w:cs="宋体"/>
          <w:sz w:val="24"/>
          <w:szCs w:val="24"/>
        </w:rPr>
        <w:t>根据最新年度政府集中采购目录及限额标准，集中采购目录范围内项目，按照发改部门“以事定费”方案确定的收费标准执行，集中采购目录以外的项目，根据《深圳交易集团有限公司关于业务收费标准的通知》（深交易〔2020〕123号）以及《深圳市财政委员会关于规范深圳市社会采购代理机构管理有关事项的补充通知》（深财购〔2018〕27 号），按以下标准以差额定率累进法计算收取。</w:t>
      </w:r>
    </w:p>
    <w:tbl>
      <w:tblPr>
        <w:tblStyle w:val="4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中标金额</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货物招标</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服务招标</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100万元以下</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1.5%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1.5%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100万元（含）-500万元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1.1%</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0.8%</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500万元（含）-1000万元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0.8%</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0.45%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1000万元（含）-5000万元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0.25%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5000万元（含）-1亿元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0.25%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0.1%</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1亿元（含）-5亿元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5亿元（含）-10亿元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0.035%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0.035%</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10亿元（含）-50亿元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0.008%</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0.008%</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50亿元（含）-100亿元</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0.006%</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0.006%</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spacing w:line="360" w:lineRule="auto"/>
              <w:jc w:val="center"/>
              <w:rPr>
                <w:rFonts w:hint="eastAsia" w:ascii="宋体" w:hAnsi="宋体" w:cs="宋体"/>
                <w:sz w:val="22"/>
              </w:rPr>
            </w:pPr>
            <w:r>
              <w:rPr>
                <w:rFonts w:hint="eastAsia" w:ascii="宋体" w:hAnsi="宋体" w:cs="宋体"/>
                <w:sz w:val="22"/>
              </w:rPr>
              <w:t>100亿元（含）以上</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0.004%</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0.004%</w:t>
            </w:r>
          </w:p>
        </w:tc>
        <w:tc>
          <w:tcPr>
            <w:tcW w:w="1799" w:type="dxa"/>
            <w:vAlign w:val="center"/>
          </w:tcPr>
          <w:p>
            <w:pPr>
              <w:spacing w:line="360" w:lineRule="auto"/>
              <w:jc w:val="center"/>
              <w:rPr>
                <w:rFonts w:hint="eastAsia" w:ascii="宋体" w:hAnsi="宋体" w:cs="宋体"/>
                <w:sz w:val="22"/>
              </w:rPr>
            </w:pPr>
            <w:r>
              <w:rPr>
                <w:rFonts w:hint="eastAsia" w:ascii="宋体" w:hAnsi="宋体" w:cs="宋体"/>
                <w:sz w:val="22"/>
              </w:rPr>
              <w:t>0.004%</w:t>
            </w:r>
          </w:p>
        </w:tc>
      </w:tr>
    </w:tbl>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以某5000万项目货物类招标为例：</w:t>
      </w:r>
    </w:p>
    <w:p>
      <w:pPr>
        <w:spacing w:line="360" w:lineRule="auto"/>
        <w:rPr>
          <w:rFonts w:hint="eastAsia" w:ascii="宋体" w:hAnsi="宋体" w:cs="宋体"/>
          <w:sz w:val="22"/>
        </w:rPr>
      </w:pPr>
      <w:r>
        <w:rPr>
          <w:rFonts w:hint="eastAsia" w:ascii="宋体" w:hAnsi="宋体" w:cs="宋体"/>
          <w:sz w:val="22"/>
        </w:rPr>
        <w:t>其计算基准价为中标价5000万元，则招标代理服务费计算为：</w:t>
      </w:r>
    </w:p>
    <w:p>
      <w:pPr>
        <w:spacing w:line="360" w:lineRule="auto"/>
        <w:rPr>
          <w:rFonts w:hint="eastAsia" w:ascii="宋体" w:hAnsi="宋体" w:cs="宋体"/>
          <w:sz w:val="22"/>
        </w:rPr>
      </w:pPr>
      <w:r>
        <w:rPr>
          <w:rFonts w:hint="eastAsia" w:ascii="宋体" w:hAnsi="宋体" w:cs="宋体"/>
          <w:sz w:val="22"/>
        </w:rPr>
        <w:t xml:space="preserve">100万元×1.5%=1.5万元   </w:t>
      </w:r>
    </w:p>
    <w:p>
      <w:pPr>
        <w:spacing w:line="360" w:lineRule="auto"/>
        <w:rPr>
          <w:rFonts w:hint="eastAsia" w:ascii="宋体" w:hAnsi="宋体" w:cs="宋体"/>
          <w:sz w:val="22"/>
        </w:rPr>
      </w:pPr>
      <w:r>
        <w:rPr>
          <w:rFonts w:hint="eastAsia" w:ascii="宋体" w:hAnsi="宋体" w:cs="宋体"/>
          <w:sz w:val="22"/>
        </w:rPr>
        <w:t xml:space="preserve">（500-100）万元×1.1%=4.4万元 </w:t>
      </w:r>
    </w:p>
    <w:p>
      <w:pPr>
        <w:spacing w:line="360" w:lineRule="auto"/>
        <w:rPr>
          <w:rFonts w:hint="eastAsia" w:ascii="宋体" w:hAnsi="宋体" w:cs="宋体"/>
          <w:sz w:val="22"/>
        </w:rPr>
      </w:pPr>
      <w:r>
        <w:rPr>
          <w:rFonts w:hint="eastAsia" w:ascii="宋体" w:hAnsi="宋体" w:cs="宋体"/>
          <w:sz w:val="22"/>
        </w:rPr>
        <w:t xml:space="preserve">（1000-500）万元×0.8%=4万元 </w:t>
      </w:r>
    </w:p>
    <w:p>
      <w:pPr>
        <w:spacing w:line="360" w:lineRule="auto"/>
        <w:rPr>
          <w:rFonts w:hint="eastAsia" w:ascii="宋体" w:hAnsi="宋体" w:cs="宋体"/>
          <w:sz w:val="22"/>
        </w:rPr>
      </w:pPr>
      <w:r>
        <w:rPr>
          <w:rFonts w:hint="eastAsia" w:ascii="宋体" w:hAnsi="宋体" w:cs="宋体"/>
          <w:sz w:val="22"/>
        </w:rPr>
        <w:t>（5000-1000）万元×0.5%=20万元</w:t>
      </w:r>
    </w:p>
    <w:p>
      <w:pPr>
        <w:spacing w:line="360" w:lineRule="auto"/>
        <w:rPr>
          <w:rFonts w:hint="eastAsia" w:ascii="宋体" w:hAnsi="宋体" w:cs="宋体"/>
          <w:sz w:val="24"/>
        </w:rPr>
      </w:pPr>
      <w:r>
        <w:rPr>
          <w:rFonts w:hint="eastAsia" w:ascii="宋体" w:hAnsi="宋体" w:cs="宋体"/>
          <w:sz w:val="22"/>
        </w:rPr>
        <w:t>因此，该项目招标代理服务费为：（1.5+4.4+4+20）=29.9万元。</w:t>
      </w:r>
    </w:p>
    <w:p>
      <w:pPr>
        <w:spacing w:line="360" w:lineRule="auto"/>
        <w:rPr>
          <w:rFonts w:hint="eastAsia" w:ascii="宋体" w:hAnsi="宋体" w:cs="宋体"/>
          <w:sz w:val="24"/>
        </w:rPr>
      </w:pPr>
      <w:r>
        <w:rPr>
          <w:rFonts w:hint="eastAsia" w:ascii="宋体" w:hAnsi="宋体" w:cs="宋体"/>
          <w:sz w:val="24"/>
        </w:rPr>
        <w:t>59.收费银行账户</w:t>
      </w:r>
    </w:p>
    <w:p>
      <w:pPr>
        <w:pStyle w:val="2"/>
        <w:numPr>
          <w:ilvl w:val="0"/>
          <w:numId w:val="0"/>
        </w:numPr>
        <w:ind w:firstLine="482" w:firstLineChars="200"/>
        <w:rPr>
          <w:rFonts w:hint="eastAsia"/>
          <w:lang w:val="en-US" w:eastAsia="zh-CN"/>
        </w:rPr>
      </w:pPr>
      <w:r>
        <w:rPr>
          <w:rFonts w:hint="eastAsia"/>
          <w:lang w:val="en-US" w:eastAsia="zh-CN"/>
        </w:rPr>
        <w:t>账户名称：深圳交易集团有限公司</w:t>
      </w:r>
    </w:p>
    <w:p>
      <w:pPr>
        <w:pStyle w:val="2"/>
        <w:numPr>
          <w:ilvl w:val="0"/>
          <w:numId w:val="0"/>
        </w:numPr>
        <w:ind w:firstLine="482" w:firstLineChars="200"/>
        <w:rPr>
          <w:rFonts w:hint="eastAsia"/>
          <w:lang w:val="en-US" w:eastAsia="zh-CN"/>
        </w:rPr>
      </w:pPr>
      <w:r>
        <w:rPr>
          <w:rFonts w:hint="eastAsia"/>
          <w:lang w:val="en-US" w:eastAsia="zh-CN"/>
        </w:rPr>
        <w:t>银行名称：中国民生银行</w:t>
      </w:r>
    </w:p>
    <w:p>
      <w:pPr>
        <w:pStyle w:val="2"/>
        <w:numPr>
          <w:ilvl w:val="0"/>
          <w:numId w:val="0"/>
        </w:numPr>
        <w:ind w:firstLine="482" w:firstLineChars="200"/>
        <w:rPr>
          <w:rFonts w:hint="eastAsia"/>
          <w:lang w:val="en-US" w:eastAsia="zh-CN"/>
        </w:rPr>
      </w:pPr>
      <w:r>
        <w:rPr>
          <w:rFonts w:hint="eastAsia"/>
          <w:lang w:val="en-US" w:eastAsia="zh-CN"/>
        </w:rPr>
        <w:t>开户行：民生银行深圳五洲支行</w:t>
      </w:r>
    </w:p>
    <w:p>
      <w:pPr>
        <w:pStyle w:val="2"/>
        <w:numPr>
          <w:ilvl w:val="0"/>
          <w:numId w:val="0"/>
        </w:numPr>
        <w:ind w:firstLine="482" w:firstLineChars="200"/>
        <w:rPr>
          <w:rFonts w:hint="eastAsia"/>
          <w:lang w:val="en-US" w:eastAsia="zh-CN"/>
        </w:rPr>
      </w:pPr>
      <w:r>
        <w:rPr>
          <w:rFonts w:hint="eastAsia"/>
          <w:lang w:val="en-US" w:eastAsia="zh-CN"/>
        </w:rPr>
        <w:t>银行账号：632766152</w:t>
      </w:r>
    </w:p>
    <w:p>
      <w:pPr>
        <w:pStyle w:val="2"/>
        <w:ind w:firstLine="420"/>
      </w:pPr>
      <w:r>
        <w:rPr>
          <w:rFonts w:hint="eastAsia" w:ascii="宋体" w:hAnsi="宋体" w:cs="宋体"/>
        </w:rPr>
        <w:t>备注：</w:t>
      </w:r>
      <w:r>
        <w:rPr>
          <w:rFonts w:hint="eastAsia" w:ascii="宋体" w:hAnsi="宋体" w:cs="宋体"/>
          <w:lang w:eastAsia="zh-CN"/>
        </w:rPr>
        <w:t>坪山</w:t>
      </w:r>
      <w:r>
        <w:rPr>
          <w:rFonts w:hint="eastAsia" w:ascii="宋体" w:hAnsi="宋体" w:cs="宋体"/>
        </w:rPr>
        <w:t>分公司（***项目）招标代理费用。</w:t>
      </w:r>
    </w:p>
    <w:p>
      <w:pPr>
        <w:jc w:val="center"/>
      </w:pPr>
      <w:r>
        <w:t>---- END ----</w:t>
      </w:r>
      <w:bookmarkEnd w:id="141"/>
    </w:p>
    <w:sectPr>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1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t xml:space="preserve">- </w:t>
    </w:r>
    <w:r>
      <w:fldChar w:fldCharType="begin"/>
    </w:r>
    <w:r>
      <w:instrText xml:space="preserve"> PAGE </w:instrText>
    </w:r>
    <w:r>
      <w:fldChar w:fldCharType="separate"/>
    </w:r>
    <w:r>
      <w:t>8</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34EE3"/>
    <w:multiLevelType w:val="singleLevel"/>
    <w:tmpl w:val="82434EE3"/>
    <w:lvl w:ilvl="0" w:tentative="0">
      <w:start w:val="3"/>
      <w:numFmt w:val="decimal"/>
      <w:suff w:val="space"/>
      <w:lvlText w:val="%1."/>
      <w:lvlJc w:val="left"/>
    </w:lvl>
  </w:abstractNum>
  <w:abstractNum w:abstractNumId="1">
    <w:nsid w:val="9810C270"/>
    <w:multiLevelType w:val="singleLevel"/>
    <w:tmpl w:val="9810C270"/>
    <w:lvl w:ilvl="0" w:tentative="0">
      <w:start w:val="2"/>
      <w:numFmt w:val="decimal"/>
      <w:suff w:val="nothing"/>
      <w:lvlText w:val="%1、"/>
      <w:lvlJc w:val="left"/>
      <w:pPr>
        <w:ind w:left="315" w:leftChars="0" w:firstLine="0" w:firstLineChars="0"/>
      </w:pPr>
    </w:lvl>
  </w:abstractNum>
  <w:abstractNum w:abstractNumId="2">
    <w:nsid w:val="A14E6A75"/>
    <w:multiLevelType w:val="singleLevel"/>
    <w:tmpl w:val="A14E6A75"/>
    <w:lvl w:ilvl="0" w:tentative="0">
      <w:start w:val="1"/>
      <w:numFmt w:val="decimal"/>
      <w:suff w:val="nothing"/>
      <w:lvlText w:val="（%1）"/>
      <w:lvlJc w:val="left"/>
    </w:lvl>
  </w:abstractNum>
  <w:abstractNum w:abstractNumId="3">
    <w:nsid w:val="F540CFC2"/>
    <w:multiLevelType w:val="singleLevel"/>
    <w:tmpl w:val="F540CFC2"/>
    <w:lvl w:ilvl="0" w:tentative="0">
      <w:start w:val="7"/>
      <w:numFmt w:val="chineseCounting"/>
      <w:suff w:val="nothing"/>
      <w:lvlText w:val="%1、"/>
      <w:lvlJc w:val="left"/>
      <w:rPr>
        <w:rFonts w:hint="eastAsia"/>
      </w:rPr>
    </w:lvl>
  </w:abstractNum>
  <w:abstractNum w:abstractNumId="4">
    <w:nsid w:val="FF780953"/>
    <w:multiLevelType w:val="singleLevel"/>
    <w:tmpl w:val="FF780953"/>
    <w:lvl w:ilvl="0" w:tentative="0">
      <w:start w:val="6"/>
      <w:numFmt w:val="decimal"/>
      <w:suff w:val="space"/>
      <w:lvlText w:val="%1."/>
      <w:lvlJc w:val="left"/>
    </w:lvl>
  </w:abstractNum>
  <w:abstractNum w:abstractNumId="5">
    <w:nsid w:val="FFFFFF7C"/>
    <w:multiLevelType w:val="singleLevel"/>
    <w:tmpl w:val="FFFFFF7C"/>
    <w:lvl w:ilvl="0" w:tentative="0">
      <w:start w:val="1"/>
      <w:numFmt w:val="decimal"/>
      <w:pStyle w:val="60"/>
      <w:lvlText w:val="%1."/>
      <w:lvlJc w:val="left"/>
      <w:pPr>
        <w:tabs>
          <w:tab w:val="left" w:pos="7994"/>
        </w:tabs>
        <w:ind w:left="7994" w:leftChars="800" w:hanging="360" w:hangingChars="200"/>
      </w:pPr>
    </w:lvl>
  </w:abstractNum>
  <w:abstractNum w:abstractNumId="6">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7">
    <w:nsid w:val="071DA1A0"/>
    <w:multiLevelType w:val="multilevel"/>
    <w:tmpl w:val="071DA1A0"/>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2503483"/>
    <w:multiLevelType w:val="multilevel"/>
    <w:tmpl w:val="12503483"/>
    <w:lvl w:ilvl="0" w:tentative="0">
      <w:start w:val="1"/>
      <w:numFmt w:val="bullet"/>
      <w:pStyle w:val="108"/>
      <w:lvlText w:val=""/>
      <w:lvlJc w:val="left"/>
      <w:pPr>
        <w:tabs>
          <w:tab w:val="left" w:pos="420"/>
        </w:tabs>
        <w:ind w:left="420" w:hanging="420"/>
      </w:pPr>
      <w:rPr>
        <w:rFonts w:hint="default" w:ascii="Wingdings" w:hAnsi="Wingdings"/>
      </w:rPr>
    </w:lvl>
    <w:lvl w:ilvl="1" w:tentative="0">
      <w:start w:val="1"/>
      <w:numFmt w:val="bullet"/>
      <w:pStyle w:val="10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160D20D0"/>
    <w:multiLevelType w:val="multilevel"/>
    <w:tmpl w:val="160D20D0"/>
    <w:lvl w:ilvl="0" w:tentative="0">
      <w:start w:val="1"/>
      <w:numFmt w:val="bullet"/>
      <w:pStyle w:val="76"/>
      <w:lvlText w:val=""/>
      <w:lvlJc w:val="left"/>
      <w:pPr>
        <w:tabs>
          <w:tab w:val="left" w:pos="840"/>
        </w:tabs>
        <w:ind w:left="840" w:hanging="420"/>
      </w:pPr>
      <w:rPr>
        <w:rFonts w:hint="default" w:ascii="Wingdings" w:hAnsi="Wingdings"/>
      </w:rPr>
    </w:lvl>
    <w:lvl w:ilvl="1" w:tentative="0">
      <w:start w:val="1"/>
      <w:numFmt w:val="bullet"/>
      <w:pStyle w:val="7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2625DA61"/>
    <w:multiLevelType w:val="singleLevel"/>
    <w:tmpl w:val="2625DA61"/>
    <w:lvl w:ilvl="0" w:tentative="0">
      <w:start w:val="2"/>
      <w:numFmt w:val="decimal"/>
      <w:suff w:val="nothing"/>
      <w:lvlText w:val="（%1）"/>
      <w:lvlJc w:val="left"/>
      <w:pPr>
        <w:ind w:left="210"/>
      </w:pPr>
    </w:lvl>
  </w:abstractNum>
  <w:abstractNum w:abstractNumId="12">
    <w:nsid w:val="2E1305EF"/>
    <w:multiLevelType w:val="singleLevel"/>
    <w:tmpl w:val="2E1305EF"/>
    <w:lvl w:ilvl="0" w:tentative="0">
      <w:start w:val="2"/>
      <w:numFmt w:val="chineseCounting"/>
      <w:suff w:val="nothing"/>
      <w:lvlText w:val="%1、"/>
      <w:lvlJc w:val="left"/>
      <w:pPr>
        <w:ind w:left="60" w:leftChars="0" w:firstLine="0" w:firstLineChars="0"/>
      </w:pPr>
      <w:rPr>
        <w:rFonts w:hint="eastAsia"/>
      </w:rPr>
    </w:lvl>
  </w:abstractNum>
  <w:abstractNum w:abstractNumId="13">
    <w:nsid w:val="2F395B7B"/>
    <w:multiLevelType w:val="multilevel"/>
    <w:tmpl w:val="2F395B7B"/>
    <w:lvl w:ilvl="0" w:tentative="0">
      <w:start w:val="1"/>
      <w:numFmt w:val="bullet"/>
      <w:pStyle w:val="168"/>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4">
    <w:nsid w:val="3ED812D4"/>
    <w:multiLevelType w:val="multilevel"/>
    <w:tmpl w:val="3ED812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E9192B9"/>
    <w:multiLevelType w:val="singleLevel"/>
    <w:tmpl w:val="5E9192B9"/>
    <w:lvl w:ilvl="0" w:tentative="0">
      <w:start w:val="1"/>
      <w:numFmt w:val="decimal"/>
      <w:suff w:val="nothing"/>
      <w:lvlText w:val="%1."/>
      <w:lvlJc w:val="left"/>
    </w:lvl>
  </w:abstractNum>
  <w:abstractNum w:abstractNumId="16">
    <w:nsid w:val="5E91A322"/>
    <w:multiLevelType w:val="singleLevel"/>
    <w:tmpl w:val="5E91A322"/>
    <w:lvl w:ilvl="0" w:tentative="0">
      <w:start w:val="1"/>
      <w:numFmt w:val="decimal"/>
      <w:suff w:val="nothing"/>
      <w:lvlText w:val="%1."/>
      <w:lvlJc w:val="left"/>
    </w:lvl>
  </w:abstractNum>
  <w:abstractNum w:abstractNumId="17">
    <w:nsid w:val="5EA1420C"/>
    <w:multiLevelType w:val="singleLevel"/>
    <w:tmpl w:val="5EA1420C"/>
    <w:lvl w:ilvl="0" w:tentative="0">
      <w:start w:val="2"/>
      <w:numFmt w:val="decimal"/>
      <w:suff w:val="space"/>
      <w:lvlText w:val="%1."/>
      <w:lvlJc w:val="left"/>
    </w:lvl>
  </w:abstractNum>
  <w:abstractNum w:abstractNumId="18">
    <w:nsid w:val="78117897"/>
    <w:multiLevelType w:val="singleLevel"/>
    <w:tmpl w:val="78117897"/>
    <w:lvl w:ilvl="0" w:tentative="0">
      <w:start w:val="2"/>
      <w:numFmt w:val="decimal"/>
      <w:suff w:val="space"/>
      <w:lvlText w:val="%1."/>
      <w:lvlJc w:val="left"/>
    </w:lvl>
  </w:abstractNum>
  <w:abstractNum w:abstractNumId="19">
    <w:nsid w:val="7AEF7716"/>
    <w:multiLevelType w:val="multilevel"/>
    <w:tmpl w:val="7AEF7716"/>
    <w:lvl w:ilvl="0" w:tentative="0">
      <w:start w:val="1"/>
      <w:numFmt w:val="chineseCountingThousand"/>
      <w:pStyle w:val="121"/>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0"/>
  </w:num>
  <w:num w:numId="4">
    <w:abstractNumId w:val="9"/>
  </w:num>
  <w:num w:numId="5">
    <w:abstractNumId w:val="19"/>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6"/>
  </w:num>
  <w:num w:numId="12">
    <w:abstractNumId w:val="11"/>
  </w:num>
  <w:num w:numId="13">
    <w:abstractNumId w:val="12"/>
  </w:num>
  <w:num w:numId="14">
    <w:abstractNumId w:val="17"/>
  </w:num>
  <w:num w:numId="15">
    <w:abstractNumId w:val="18"/>
  </w:num>
  <w:num w:numId="16">
    <w:abstractNumId w:val="0"/>
  </w:num>
  <w:num w:numId="17">
    <w:abstractNumId w:val="4"/>
  </w:num>
  <w:num w:numId="18">
    <w:abstractNumId w:val="14"/>
  </w:num>
  <w:num w:numId="19">
    <w:abstractNumId w:val="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6EA"/>
    <w:rsid w:val="00000AD9"/>
    <w:rsid w:val="000043C0"/>
    <w:rsid w:val="00004F2D"/>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0A3D"/>
    <w:rsid w:val="00060C1C"/>
    <w:rsid w:val="00061D20"/>
    <w:rsid w:val="0006267A"/>
    <w:rsid w:val="0006335B"/>
    <w:rsid w:val="00063C25"/>
    <w:rsid w:val="00064892"/>
    <w:rsid w:val="00066026"/>
    <w:rsid w:val="0006660A"/>
    <w:rsid w:val="0006670C"/>
    <w:rsid w:val="00067960"/>
    <w:rsid w:val="0007003A"/>
    <w:rsid w:val="00070210"/>
    <w:rsid w:val="000707BF"/>
    <w:rsid w:val="00072B70"/>
    <w:rsid w:val="00072CB4"/>
    <w:rsid w:val="000734CD"/>
    <w:rsid w:val="00074403"/>
    <w:rsid w:val="000750DC"/>
    <w:rsid w:val="00075497"/>
    <w:rsid w:val="0007583C"/>
    <w:rsid w:val="00075E26"/>
    <w:rsid w:val="00076057"/>
    <w:rsid w:val="000770EC"/>
    <w:rsid w:val="00080613"/>
    <w:rsid w:val="00082667"/>
    <w:rsid w:val="00082AD2"/>
    <w:rsid w:val="00083DC6"/>
    <w:rsid w:val="00084857"/>
    <w:rsid w:val="000849B8"/>
    <w:rsid w:val="000850AF"/>
    <w:rsid w:val="000852EB"/>
    <w:rsid w:val="000869D8"/>
    <w:rsid w:val="00086CA6"/>
    <w:rsid w:val="00090213"/>
    <w:rsid w:val="00092FC7"/>
    <w:rsid w:val="00093133"/>
    <w:rsid w:val="0009395E"/>
    <w:rsid w:val="00094C6E"/>
    <w:rsid w:val="000954D5"/>
    <w:rsid w:val="00095723"/>
    <w:rsid w:val="00095A74"/>
    <w:rsid w:val="0009618D"/>
    <w:rsid w:val="0009709B"/>
    <w:rsid w:val="000975E3"/>
    <w:rsid w:val="000A1DD1"/>
    <w:rsid w:val="000A21A5"/>
    <w:rsid w:val="000A3908"/>
    <w:rsid w:val="000A4C29"/>
    <w:rsid w:val="000A5B36"/>
    <w:rsid w:val="000A6E2B"/>
    <w:rsid w:val="000A79D3"/>
    <w:rsid w:val="000B05E2"/>
    <w:rsid w:val="000B2568"/>
    <w:rsid w:val="000B41BB"/>
    <w:rsid w:val="000B5357"/>
    <w:rsid w:val="000B597F"/>
    <w:rsid w:val="000B634D"/>
    <w:rsid w:val="000B73D2"/>
    <w:rsid w:val="000B7465"/>
    <w:rsid w:val="000C14CB"/>
    <w:rsid w:val="000C18BC"/>
    <w:rsid w:val="000C1D03"/>
    <w:rsid w:val="000C1EE4"/>
    <w:rsid w:val="000C1FF9"/>
    <w:rsid w:val="000C4151"/>
    <w:rsid w:val="000C4425"/>
    <w:rsid w:val="000C4B12"/>
    <w:rsid w:val="000C5FA7"/>
    <w:rsid w:val="000C7E71"/>
    <w:rsid w:val="000D0BCE"/>
    <w:rsid w:val="000D16AA"/>
    <w:rsid w:val="000D1A7D"/>
    <w:rsid w:val="000D2309"/>
    <w:rsid w:val="000D2CCA"/>
    <w:rsid w:val="000D366B"/>
    <w:rsid w:val="000D37B4"/>
    <w:rsid w:val="000D38F9"/>
    <w:rsid w:val="000D5D6B"/>
    <w:rsid w:val="000D7A20"/>
    <w:rsid w:val="000E161C"/>
    <w:rsid w:val="000E2C39"/>
    <w:rsid w:val="000E355C"/>
    <w:rsid w:val="000E4445"/>
    <w:rsid w:val="000E470B"/>
    <w:rsid w:val="000E4DE8"/>
    <w:rsid w:val="000E4EF8"/>
    <w:rsid w:val="000E50F5"/>
    <w:rsid w:val="000E5E99"/>
    <w:rsid w:val="000E655B"/>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0F64AD"/>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17AD"/>
    <w:rsid w:val="00131FC3"/>
    <w:rsid w:val="0013281E"/>
    <w:rsid w:val="00132FD3"/>
    <w:rsid w:val="001339CF"/>
    <w:rsid w:val="0013673A"/>
    <w:rsid w:val="00136D81"/>
    <w:rsid w:val="001410EB"/>
    <w:rsid w:val="00141224"/>
    <w:rsid w:val="00143103"/>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0ED1"/>
    <w:rsid w:val="0017121A"/>
    <w:rsid w:val="00171401"/>
    <w:rsid w:val="0017141F"/>
    <w:rsid w:val="00171777"/>
    <w:rsid w:val="001719FB"/>
    <w:rsid w:val="00172B65"/>
    <w:rsid w:val="00172EF5"/>
    <w:rsid w:val="001732E1"/>
    <w:rsid w:val="0017486B"/>
    <w:rsid w:val="0017613E"/>
    <w:rsid w:val="00177167"/>
    <w:rsid w:val="00177753"/>
    <w:rsid w:val="00181A71"/>
    <w:rsid w:val="00182329"/>
    <w:rsid w:val="0018261B"/>
    <w:rsid w:val="001834A7"/>
    <w:rsid w:val="0018373B"/>
    <w:rsid w:val="00183C79"/>
    <w:rsid w:val="00183C8B"/>
    <w:rsid w:val="00183E75"/>
    <w:rsid w:val="001845CF"/>
    <w:rsid w:val="001865BB"/>
    <w:rsid w:val="00186EAE"/>
    <w:rsid w:val="00186F7A"/>
    <w:rsid w:val="00187518"/>
    <w:rsid w:val="00187743"/>
    <w:rsid w:val="00187F07"/>
    <w:rsid w:val="0019096C"/>
    <w:rsid w:val="00191EA7"/>
    <w:rsid w:val="00192164"/>
    <w:rsid w:val="00192883"/>
    <w:rsid w:val="00194C98"/>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5963"/>
    <w:rsid w:val="001B6FAD"/>
    <w:rsid w:val="001C04B2"/>
    <w:rsid w:val="001C14C1"/>
    <w:rsid w:val="001C1FDE"/>
    <w:rsid w:val="001C2063"/>
    <w:rsid w:val="001C21E1"/>
    <w:rsid w:val="001C3426"/>
    <w:rsid w:val="001C4675"/>
    <w:rsid w:val="001C4768"/>
    <w:rsid w:val="001C5839"/>
    <w:rsid w:val="001C6AF6"/>
    <w:rsid w:val="001C7129"/>
    <w:rsid w:val="001C77E1"/>
    <w:rsid w:val="001C7ADA"/>
    <w:rsid w:val="001C7B48"/>
    <w:rsid w:val="001C7EA0"/>
    <w:rsid w:val="001D121D"/>
    <w:rsid w:val="001D3543"/>
    <w:rsid w:val="001D4151"/>
    <w:rsid w:val="001D58E5"/>
    <w:rsid w:val="001D7299"/>
    <w:rsid w:val="001E0FAB"/>
    <w:rsid w:val="001E2084"/>
    <w:rsid w:val="001E2502"/>
    <w:rsid w:val="001E292F"/>
    <w:rsid w:val="001E351C"/>
    <w:rsid w:val="001E474D"/>
    <w:rsid w:val="001E5194"/>
    <w:rsid w:val="001E5851"/>
    <w:rsid w:val="001E5A81"/>
    <w:rsid w:val="001E62FB"/>
    <w:rsid w:val="001E6A0B"/>
    <w:rsid w:val="001E77DA"/>
    <w:rsid w:val="001E7A2F"/>
    <w:rsid w:val="001E7AB0"/>
    <w:rsid w:val="001E7DD0"/>
    <w:rsid w:val="001F0349"/>
    <w:rsid w:val="001F077B"/>
    <w:rsid w:val="001F0B74"/>
    <w:rsid w:val="001F2648"/>
    <w:rsid w:val="001F3E37"/>
    <w:rsid w:val="001F41B9"/>
    <w:rsid w:val="001F4BE8"/>
    <w:rsid w:val="001F4EB8"/>
    <w:rsid w:val="001F560A"/>
    <w:rsid w:val="001F6270"/>
    <w:rsid w:val="001F6318"/>
    <w:rsid w:val="001F65B1"/>
    <w:rsid w:val="001F6B83"/>
    <w:rsid w:val="001F6F6A"/>
    <w:rsid w:val="001F7595"/>
    <w:rsid w:val="002000B8"/>
    <w:rsid w:val="002005CD"/>
    <w:rsid w:val="00200B4C"/>
    <w:rsid w:val="00202F46"/>
    <w:rsid w:val="00203267"/>
    <w:rsid w:val="00203897"/>
    <w:rsid w:val="0020391D"/>
    <w:rsid w:val="00205F9C"/>
    <w:rsid w:val="002060F7"/>
    <w:rsid w:val="00207BC6"/>
    <w:rsid w:val="00210771"/>
    <w:rsid w:val="00210EE2"/>
    <w:rsid w:val="00211885"/>
    <w:rsid w:val="00212864"/>
    <w:rsid w:val="00212ADF"/>
    <w:rsid w:val="002134CF"/>
    <w:rsid w:val="00213A60"/>
    <w:rsid w:val="0021429B"/>
    <w:rsid w:val="00215699"/>
    <w:rsid w:val="002159DE"/>
    <w:rsid w:val="00215E99"/>
    <w:rsid w:val="0021667D"/>
    <w:rsid w:val="002166A1"/>
    <w:rsid w:val="002166A6"/>
    <w:rsid w:val="00216BB6"/>
    <w:rsid w:val="0022039D"/>
    <w:rsid w:val="0022048B"/>
    <w:rsid w:val="0022175C"/>
    <w:rsid w:val="00222261"/>
    <w:rsid w:val="002227DF"/>
    <w:rsid w:val="00223AC8"/>
    <w:rsid w:val="00223C96"/>
    <w:rsid w:val="00224852"/>
    <w:rsid w:val="0022634D"/>
    <w:rsid w:val="00227512"/>
    <w:rsid w:val="0022766E"/>
    <w:rsid w:val="0022777A"/>
    <w:rsid w:val="002278D5"/>
    <w:rsid w:val="00227C13"/>
    <w:rsid w:val="00227D49"/>
    <w:rsid w:val="00227FC7"/>
    <w:rsid w:val="0023110A"/>
    <w:rsid w:val="00233A54"/>
    <w:rsid w:val="00234440"/>
    <w:rsid w:val="002347C9"/>
    <w:rsid w:val="00236E72"/>
    <w:rsid w:val="0023738E"/>
    <w:rsid w:val="002411BD"/>
    <w:rsid w:val="00242ED3"/>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2CD"/>
    <w:rsid w:val="00270B4E"/>
    <w:rsid w:val="00271500"/>
    <w:rsid w:val="00272E57"/>
    <w:rsid w:val="00274663"/>
    <w:rsid w:val="00275641"/>
    <w:rsid w:val="0027569A"/>
    <w:rsid w:val="002767D9"/>
    <w:rsid w:val="00280382"/>
    <w:rsid w:val="00280F4B"/>
    <w:rsid w:val="002816D0"/>
    <w:rsid w:val="002821E9"/>
    <w:rsid w:val="002827D2"/>
    <w:rsid w:val="002835B7"/>
    <w:rsid w:val="00284C1F"/>
    <w:rsid w:val="002851AF"/>
    <w:rsid w:val="00285866"/>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4E9"/>
    <w:rsid w:val="002B660D"/>
    <w:rsid w:val="002B7969"/>
    <w:rsid w:val="002C0031"/>
    <w:rsid w:val="002C0485"/>
    <w:rsid w:val="002C0762"/>
    <w:rsid w:val="002C257A"/>
    <w:rsid w:val="002C2BEC"/>
    <w:rsid w:val="002C30C0"/>
    <w:rsid w:val="002C4F4B"/>
    <w:rsid w:val="002C5233"/>
    <w:rsid w:val="002C6EC0"/>
    <w:rsid w:val="002C7258"/>
    <w:rsid w:val="002D0189"/>
    <w:rsid w:val="002D0356"/>
    <w:rsid w:val="002D07C0"/>
    <w:rsid w:val="002D0F98"/>
    <w:rsid w:val="002D1DFB"/>
    <w:rsid w:val="002D45BF"/>
    <w:rsid w:val="002D4A85"/>
    <w:rsid w:val="002D6162"/>
    <w:rsid w:val="002D64DF"/>
    <w:rsid w:val="002D750A"/>
    <w:rsid w:val="002E242E"/>
    <w:rsid w:val="002E2FEC"/>
    <w:rsid w:val="002E38DB"/>
    <w:rsid w:val="002E3BEB"/>
    <w:rsid w:val="002E441D"/>
    <w:rsid w:val="002E4AB1"/>
    <w:rsid w:val="002E4F11"/>
    <w:rsid w:val="002E4F8A"/>
    <w:rsid w:val="002E505D"/>
    <w:rsid w:val="002E6F69"/>
    <w:rsid w:val="002E7296"/>
    <w:rsid w:val="002E73B8"/>
    <w:rsid w:val="002F0545"/>
    <w:rsid w:val="002F0823"/>
    <w:rsid w:val="002F2471"/>
    <w:rsid w:val="002F2B7A"/>
    <w:rsid w:val="002F3105"/>
    <w:rsid w:val="002F59F2"/>
    <w:rsid w:val="002F5E6C"/>
    <w:rsid w:val="002F72FF"/>
    <w:rsid w:val="00300BF3"/>
    <w:rsid w:val="0030143F"/>
    <w:rsid w:val="00301A2B"/>
    <w:rsid w:val="00301BCD"/>
    <w:rsid w:val="00302988"/>
    <w:rsid w:val="00303ACF"/>
    <w:rsid w:val="0030463E"/>
    <w:rsid w:val="00304ED6"/>
    <w:rsid w:val="00306654"/>
    <w:rsid w:val="00306D5D"/>
    <w:rsid w:val="00306FF4"/>
    <w:rsid w:val="00310EE1"/>
    <w:rsid w:val="003122B0"/>
    <w:rsid w:val="00312390"/>
    <w:rsid w:val="003123F4"/>
    <w:rsid w:val="00313487"/>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7BA"/>
    <w:rsid w:val="00324A1D"/>
    <w:rsid w:val="00324C55"/>
    <w:rsid w:val="003250B4"/>
    <w:rsid w:val="00325742"/>
    <w:rsid w:val="00327224"/>
    <w:rsid w:val="00327AB3"/>
    <w:rsid w:val="00327F9E"/>
    <w:rsid w:val="00330527"/>
    <w:rsid w:val="00330C9F"/>
    <w:rsid w:val="003318A6"/>
    <w:rsid w:val="003321A8"/>
    <w:rsid w:val="00332EB1"/>
    <w:rsid w:val="00333E63"/>
    <w:rsid w:val="00334044"/>
    <w:rsid w:val="00334CB0"/>
    <w:rsid w:val="00335188"/>
    <w:rsid w:val="00335234"/>
    <w:rsid w:val="003373B8"/>
    <w:rsid w:val="003413F4"/>
    <w:rsid w:val="00342DC1"/>
    <w:rsid w:val="00342EF7"/>
    <w:rsid w:val="003432B6"/>
    <w:rsid w:val="003434E9"/>
    <w:rsid w:val="00343F41"/>
    <w:rsid w:val="00344BF3"/>
    <w:rsid w:val="00345CC1"/>
    <w:rsid w:val="00345EA7"/>
    <w:rsid w:val="0034652C"/>
    <w:rsid w:val="00346606"/>
    <w:rsid w:val="00346E73"/>
    <w:rsid w:val="00346F27"/>
    <w:rsid w:val="0035067B"/>
    <w:rsid w:val="00350681"/>
    <w:rsid w:val="00350B6E"/>
    <w:rsid w:val="00351A4A"/>
    <w:rsid w:val="00351D95"/>
    <w:rsid w:val="00351FB4"/>
    <w:rsid w:val="00353860"/>
    <w:rsid w:val="00354CD9"/>
    <w:rsid w:val="003556C1"/>
    <w:rsid w:val="00355EEE"/>
    <w:rsid w:val="00356FC1"/>
    <w:rsid w:val="00357883"/>
    <w:rsid w:val="00360494"/>
    <w:rsid w:val="00360C00"/>
    <w:rsid w:val="00361243"/>
    <w:rsid w:val="00361633"/>
    <w:rsid w:val="00361935"/>
    <w:rsid w:val="003626AE"/>
    <w:rsid w:val="0036292A"/>
    <w:rsid w:val="00362AF3"/>
    <w:rsid w:val="0036467D"/>
    <w:rsid w:val="00364BEE"/>
    <w:rsid w:val="0036508D"/>
    <w:rsid w:val="003651C8"/>
    <w:rsid w:val="00366321"/>
    <w:rsid w:val="00366419"/>
    <w:rsid w:val="003669F1"/>
    <w:rsid w:val="00366F10"/>
    <w:rsid w:val="003700A3"/>
    <w:rsid w:val="00370B40"/>
    <w:rsid w:val="00371A92"/>
    <w:rsid w:val="00371C15"/>
    <w:rsid w:val="00372CDF"/>
    <w:rsid w:val="00373411"/>
    <w:rsid w:val="00373D40"/>
    <w:rsid w:val="003741F6"/>
    <w:rsid w:val="00374A29"/>
    <w:rsid w:val="00374FA4"/>
    <w:rsid w:val="003756C6"/>
    <w:rsid w:val="00376E35"/>
    <w:rsid w:val="003773AC"/>
    <w:rsid w:val="00377F6C"/>
    <w:rsid w:val="00380094"/>
    <w:rsid w:val="00380256"/>
    <w:rsid w:val="0038165D"/>
    <w:rsid w:val="00383071"/>
    <w:rsid w:val="00385175"/>
    <w:rsid w:val="00385444"/>
    <w:rsid w:val="00385F39"/>
    <w:rsid w:val="00386070"/>
    <w:rsid w:val="00387DCF"/>
    <w:rsid w:val="00390006"/>
    <w:rsid w:val="003900A5"/>
    <w:rsid w:val="0039012D"/>
    <w:rsid w:val="003917AD"/>
    <w:rsid w:val="003917D1"/>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11D"/>
    <w:rsid w:val="003A0DC3"/>
    <w:rsid w:val="003A1675"/>
    <w:rsid w:val="003A1CA9"/>
    <w:rsid w:val="003A1CF5"/>
    <w:rsid w:val="003A2812"/>
    <w:rsid w:val="003A2D0C"/>
    <w:rsid w:val="003A3304"/>
    <w:rsid w:val="003A3551"/>
    <w:rsid w:val="003A38F0"/>
    <w:rsid w:val="003A443D"/>
    <w:rsid w:val="003A4DE4"/>
    <w:rsid w:val="003A6A5A"/>
    <w:rsid w:val="003A72E9"/>
    <w:rsid w:val="003B175A"/>
    <w:rsid w:val="003B3231"/>
    <w:rsid w:val="003B357A"/>
    <w:rsid w:val="003B499C"/>
    <w:rsid w:val="003B4CCD"/>
    <w:rsid w:val="003B53D4"/>
    <w:rsid w:val="003B56D7"/>
    <w:rsid w:val="003B7298"/>
    <w:rsid w:val="003C0FF8"/>
    <w:rsid w:val="003C1D0C"/>
    <w:rsid w:val="003C1F2E"/>
    <w:rsid w:val="003C42A3"/>
    <w:rsid w:val="003C49D5"/>
    <w:rsid w:val="003C4FD5"/>
    <w:rsid w:val="003C582B"/>
    <w:rsid w:val="003C6BFF"/>
    <w:rsid w:val="003D2333"/>
    <w:rsid w:val="003D2E1B"/>
    <w:rsid w:val="003D3241"/>
    <w:rsid w:val="003D39AE"/>
    <w:rsid w:val="003D4804"/>
    <w:rsid w:val="003D5413"/>
    <w:rsid w:val="003D7685"/>
    <w:rsid w:val="003D7E9A"/>
    <w:rsid w:val="003E0366"/>
    <w:rsid w:val="003E100C"/>
    <w:rsid w:val="003E1C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C9D"/>
    <w:rsid w:val="003F5D2C"/>
    <w:rsid w:val="003F7679"/>
    <w:rsid w:val="00400C13"/>
    <w:rsid w:val="00401F48"/>
    <w:rsid w:val="00402311"/>
    <w:rsid w:val="0040239F"/>
    <w:rsid w:val="00402C97"/>
    <w:rsid w:val="00403364"/>
    <w:rsid w:val="0040415C"/>
    <w:rsid w:val="00404AA4"/>
    <w:rsid w:val="00404AF1"/>
    <w:rsid w:val="00404C61"/>
    <w:rsid w:val="004050C9"/>
    <w:rsid w:val="004051F0"/>
    <w:rsid w:val="00405C04"/>
    <w:rsid w:val="00406314"/>
    <w:rsid w:val="00406376"/>
    <w:rsid w:val="00406896"/>
    <w:rsid w:val="00411B37"/>
    <w:rsid w:val="0041244F"/>
    <w:rsid w:val="004125ED"/>
    <w:rsid w:val="0041353D"/>
    <w:rsid w:val="00413B39"/>
    <w:rsid w:val="0041450E"/>
    <w:rsid w:val="0041456E"/>
    <w:rsid w:val="00415370"/>
    <w:rsid w:val="00415781"/>
    <w:rsid w:val="00416485"/>
    <w:rsid w:val="00416F40"/>
    <w:rsid w:val="00417769"/>
    <w:rsid w:val="00417F0D"/>
    <w:rsid w:val="00420765"/>
    <w:rsid w:val="00421EF2"/>
    <w:rsid w:val="00422668"/>
    <w:rsid w:val="0042482B"/>
    <w:rsid w:val="00424946"/>
    <w:rsid w:val="0042602D"/>
    <w:rsid w:val="004261DA"/>
    <w:rsid w:val="00427004"/>
    <w:rsid w:val="00431540"/>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382F"/>
    <w:rsid w:val="00443B96"/>
    <w:rsid w:val="00443E1D"/>
    <w:rsid w:val="004442EB"/>
    <w:rsid w:val="00444FA3"/>
    <w:rsid w:val="004459DC"/>
    <w:rsid w:val="00446553"/>
    <w:rsid w:val="00446A92"/>
    <w:rsid w:val="004501B4"/>
    <w:rsid w:val="0045082F"/>
    <w:rsid w:val="00450C00"/>
    <w:rsid w:val="0045135E"/>
    <w:rsid w:val="00452434"/>
    <w:rsid w:val="00452C53"/>
    <w:rsid w:val="004539C7"/>
    <w:rsid w:val="00454597"/>
    <w:rsid w:val="004548E6"/>
    <w:rsid w:val="0045543A"/>
    <w:rsid w:val="0045543C"/>
    <w:rsid w:val="004556FB"/>
    <w:rsid w:val="00455880"/>
    <w:rsid w:val="004561F9"/>
    <w:rsid w:val="0045637C"/>
    <w:rsid w:val="004563C4"/>
    <w:rsid w:val="004569A3"/>
    <w:rsid w:val="004578ED"/>
    <w:rsid w:val="00457EFC"/>
    <w:rsid w:val="0046064C"/>
    <w:rsid w:val="004611B6"/>
    <w:rsid w:val="00461997"/>
    <w:rsid w:val="00463F8B"/>
    <w:rsid w:val="004644C2"/>
    <w:rsid w:val="004649AD"/>
    <w:rsid w:val="004650E7"/>
    <w:rsid w:val="0046687B"/>
    <w:rsid w:val="00466CB4"/>
    <w:rsid w:val="00470418"/>
    <w:rsid w:val="004704EA"/>
    <w:rsid w:val="0047071D"/>
    <w:rsid w:val="004720F6"/>
    <w:rsid w:val="004727C4"/>
    <w:rsid w:val="00472F62"/>
    <w:rsid w:val="00473579"/>
    <w:rsid w:val="00473E50"/>
    <w:rsid w:val="00474E5A"/>
    <w:rsid w:val="0047558F"/>
    <w:rsid w:val="00475FD5"/>
    <w:rsid w:val="00476FED"/>
    <w:rsid w:val="0047725A"/>
    <w:rsid w:val="004812F4"/>
    <w:rsid w:val="0048231B"/>
    <w:rsid w:val="004838D4"/>
    <w:rsid w:val="004845AC"/>
    <w:rsid w:val="00484C31"/>
    <w:rsid w:val="00485E3C"/>
    <w:rsid w:val="00486F09"/>
    <w:rsid w:val="004877FB"/>
    <w:rsid w:val="004906DB"/>
    <w:rsid w:val="00490C0F"/>
    <w:rsid w:val="00491FF2"/>
    <w:rsid w:val="004925EE"/>
    <w:rsid w:val="00492735"/>
    <w:rsid w:val="00493926"/>
    <w:rsid w:val="004945E8"/>
    <w:rsid w:val="00494FC9"/>
    <w:rsid w:val="00495228"/>
    <w:rsid w:val="004963B6"/>
    <w:rsid w:val="004A1AB1"/>
    <w:rsid w:val="004A2013"/>
    <w:rsid w:val="004A201B"/>
    <w:rsid w:val="004A2B7A"/>
    <w:rsid w:val="004A3EB3"/>
    <w:rsid w:val="004A4377"/>
    <w:rsid w:val="004A57EB"/>
    <w:rsid w:val="004A5824"/>
    <w:rsid w:val="004A59D3"/>
    <w:rsid w:val="004A6156"/>
    <w:rsid w:val="004A6D7C"/>
    <w:rsid w:val="004A6F11"/>
    <w:rsid w:val="004A74DD"/>
    <w:rsid w:val="004B00D1"/>
    <w:rsid w:val="004B0AC8"/>
    <w:rsid w:val="004B0B57"/>
    <w:rsid w:val="004B0BBE"/>
    <w:rsid w:val="004B0EB0"/>
    <w:rsid w:val="004B1246"/>
    <w:rsid w:val="004B1CAB"/>
    <w:rsid w:val="004B2FF9"/>
    <w:rsid w:val="004B3506"/>
    <w:rsid w:val="004B36ED"/>
    <w:rsid w:val="004B40DB"/>
    <w:rsid w:val="004B4EF6"/>
    <w:rsid w:val="004B612E"/>
    <w:rsid w:val="004B623B"/>
    <w:rsid w:val="004B6554"/>
    <w:rsid w:val="004B6B22"/>
    <w:rsid w:val="004B6C50"/>
    <w:rsid w:val="004C0DA0"/>
    <w:rsid w:val="004C3E02"/>
    <w:rsid w:val="004C422D"/>
    <w:rsid w:val="004C440E"/>
    <w:rsid w:val="004C4CEB"/>
    <w:rsid w:val="004C5CBA"/>
    <w:rsid w:val="004C64D8"/>
    <w:rsid w:val="004C64F7"/>
    <w:rsid w:val="004C6C09"/>
    <w:rsid w:val="004C6EA3"/>
    <w:rsid w:val="004C7BCD"/>
    <w:rsid w:val="004D000F"/>
    <w:rsid w:val="004D055D"/>
    <w:rsid w:val="004D1240"/>
    <w:rsid w:val="004D12F6"/>
    <w:rsid w:val="004D1946"/>
    <w:rsid w:val="004D32ED"/>
    <w:rsid w:val="004D3E71"/>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191"/>
    <w:rsid w:val="004E6707"/>
    <w:rsid w:val="004E6B8E"/>
    <w:rsid w:val="004F0543"/>
    <w:rsid w:val="004F0D33"/>
    <w:rsid w:val="004F2385"/>
    <w:rsid w:val="004F246C"/>
    <w:rsid w:val="004F3A97"/>
    <w:rsid w:val="004F5591"/>
    <w:rsid w:val="004F5D14"/>
    <w:rsid w:val="004F68DC"/>
    <w:rsid w:val="004F7F44"/>
    <w:rsid w:val="00500598"/>
    <w:rsid w:val="00500F7A"/>
    <w:rsid w:val="005012AD"/>
    <w:rsid w:val="005016E5"/>
    <w:rsid w:val="00501A56"/>
    <w:rsid w:val="00502317"/>
    <w:rsid w:val="005027BB"/>
    <w:rsid w:val="00503415"/>
    <w:rsid w:val="005034C1"/>
    <w:rsid w:val="005037E1"/>
    <w:rsid w:val="00503B5C"/>
    <w:rsid w:val="0050456A"/>
    <w:rsid w:val="00505C46"/>
    <w:rsid w:val="005068E1"/>
    <w:rsid w:val="005070B6"/>
    <w:rsid w:val="005077C5"/>
    <w:rsid w:val="00510111"/>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0B60"/>
    <w:rsid w:val="00541076"/>
    <w:rsid w:val="00541136"/>
    <w:rsid w:val="0054216F"/>
    <w:rsid w:val="00542F18"/>
    <w:rsid w:val="0054343C"/>
    <w:rsid w:val="00544853"/>
    <w:rsid w:val="00544CA5"/>
    <w:rsid w:val="005450E2"/>
    <w:rsid w:val="00545B19"/>
    <w:rsid w:val="00547404"/>
    <w:rsid w:val="005474A2"/>
    <w:rsid w:val="00547520"/>
    <w:rsid w:val="0055035F"/>
    <w:rsid w:val="005507FD"/>
    <w:rsid w:val="005511C0"/>
    <w:rsid w:val="00551D4B"/>
    <w:rsid w:val="00551E3C"/>
    <w:rsid w:val="0055232C"/>
    <w:rsid w:val="0055278E"/>
    <w:rsid w:val="00555488"/>
    <w:rsid w:val="0055549A"/>
    <w:rsid w:val="00555B18"/>
    <w:rsid w:val="00555C9C"/>
    <w:rsid w:val="00556A4D"/>
    <w:rsid w:val="00557319"/>
    <w:rsid w:val="0055764E"/>
    <w:rsid w:val="00560528"/>
    <w:rsid w:val="00560699"/>
    <w:rsid w:val="00561503"/>
    <w:rsid w:val="00561923"/>
    <w:rsid w:val="005622F8"/>
    <w:rsid w:val="0056310A"/>
    <w:rsid w:val="0056336F"/>
    <w:rsid w:val="00565AF7"/>
    <w:rsid w:val="00566024"/>
    <w:rsid w:val="005671C3"/>
    <w:rsid w:val="0057060C"/>
    <w:rsid w:val="0057189C"/>
    <w:rsid w:val="00571BD2"/>
    <w:rsid w:val="00571CD7"/>
    <w:rsid w:val="00571D59"/>
    <w:rsid w:val="00572E3E"/>
    <w:rsid w:val="0057332B"/>
    <w:rsid w:val="0057364D"/>
    <w:rsid w:val="005737FC"/>
    <w:rsid w:val="0057420B"/>
    <w:rsid w:val="0057593B"/>
    <w:rsid w:val="005762CE"/>
    <w:rsid w:val="00580280"/>
    <w:rsid w:val="00580B9E"/>
    <w:rsid w:val="00580DAB"/>
    <w:rsid w:val="0058135A"/>
    <w:rsid w:val="005817D9"/>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08F"/>
    <w:rsid w:val="005903E4"/>
    <w:rsid w:val="005907D5"/>
    <w:rsid w:val="005910C0"/>
    <w:rsid w:val="005913EE"/>
    <w:rsid w:val="00592461"/>
    <w:rsid w:val="005950D6"/>
    <w:rsid w:val="0059519C"/>
    <w:rsid w:val="00595524"/>
    <w:rsid w:val="005974F3"/>
    <w:rsid w:val="0059751C"/>
    <w:rsid w:val="00597919"/>
    <w:rsid w:val="005A0B9F"/>
    <w:rsid w:val="005A0EFC"/>
    <w:rsid w:val="005A44E7"/>
    <w:rsid w:val="005A5D8E"/>
    <w:rsid w:val="005A63D8"/>
    <w:rsid w:val="005A7420"/>
    <w:rsid w:val="005A7C14"/>
    <w:rsid w:val="005A7DBE"/>
    <w:rsid w:val="005B152C"/>
    <w:rsid w:val="005B1C64"/>
    <w:rsid w:val="005B1DE8"/>
    <w:rsid w:val="005B2294"/>
    <w:rsid w:val="005B271E"/>
    <w:rsid w:val="005B2807"/>
    <w:rsid w:val="005B3606"/>
    <w:rsid w:val="005B388D"/>
    <w:rsid w:val="005B3E08"/>
    <w:rsid w:val="005B49B6"/>
    <w:rsid w:val="005B56EE"/>
    <w:rsid w:val="005B63E1"/>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C6E71"/>
    <w:rsid w:val="005C7363"/>
    <w:rsid w:val="005D0B55"/>
    <w:rsid w:val="005D4A04"/>
    <w:rsid w:val="005D4CF7"/>
    <w:rsid w:val="005D5347"/>
    <w:rsid w:val="005D5CC5"/>
    <w:rsid w:val="005D5FE6"/>
    <w:rsid w:val="005D61EA"/>
    <w:rsid w:val="005D74D8"/>
    <w:rsid w:val="005D787B"/>
    <w:rsid w:val="005E031D"/>
    <w:rsid w:val="005E03AC"/>
    <w:rsid w:val="005E04B5"/>
    <w:rsid w:val="005E0621"/>
    <w:rsid w:val="005E12BE"/>
    <w:rsid w:val="005E2C81"/>
    <w:rsid w:val="005E4D3C"/>
    <w:rsid w:val="005E7158"/>
    <w:rsid w:val="005E7ECB"/>
    <w:rsid w:val="005F0C00"/>
    <w:rsid w:val="005F1037"/>
    <w:rsid w:val="005F2BF8"/>
    <w:rsid w:val="005F2EA8"/>
    <w:rsid w:val="005F3B04"/>
    <w:rsid w:val="005F5574"/>
    <w:rsid w:val="005F5D1D"/>
    <w:rsid w:val="005F60C9"/>
    <w:rsid w:val="005F64C6"/>
    <w:rsid w:val="006008F1"/>
    <w:rsid w:val="00601714"/>
    <w:rsid w:val="00601735"/>
    <w:rsid w:val="00602BD2"/>
    <w:rsid w:val="00604980"/>
    <w:rsid w:val="0060614D"/>
    <w:rsid w:val="00610871"/>
    <w:rsid w:val="00610E48"/>
    <w:rsid w:val="00610FE0"/>
    <w:rsid w:val="00613C47"/>
    <w:rsid w:val="00615086"/>
    <w:rsid w:val="00616201"/>
    <w:rsid w:val="00616225"/>
    <w:rsid w:val="00616BA2"/>
    <w:rsid w:val="0061705E"/>
    <w:rsid w:val="00617914"/>
    <w:rsid w:val="00617A8B"/>
    <w:rsid w:val="00621904"/>
    <w:rsid w:val="00622248"/>
    <w:rsid w:val="00622FEA"/>
    <w:rsid w:val="00623CDF"/>
    <w:rsid w:val="00623DB1"/>
    <w:rsid w:val="006245F3"/>
    <w:rsid w:val="0062485E"/>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55B"/>
    <w:rsid w:val="00680936"/>
    <w:rsid w:val="00680D8C"/>
    <w:rsid w:val="00680D99"/>
    <w:rsid w:val="006821B2"/>
    <w:rsid w:val="00682725"/>
    <w:rsid w:val="00682A1B"/>
    <w:rsid w:val="00682D73"/>
    <w:rsid w:val="00682ED3"/>
    <w:rsid w:val="00683126"/>
    <w:rsid w:val="00683993"/>
    <w:rsid w:val="006846E8"/>
    <w:rsid w:val="00685EBD"/>
    <w:rsid w:val="006861C3"/>
    <w:rsid w:val="00686AF3"/>
    <w:rsid w:val="00690F1F"/>
    <w:rsid w:val="006915BD"/>
    <w:rsid w:val="006915F2"/>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7EB"/>
    <w:rsid w:val="006A4AEE"/>
    <w:rsid w:val="006A5E74"/>
    <w:rsid w:val="006A70BE"/>
    <w:rsid w:val="006A7290"/>
    <w:rsid w:val="006A7934"/>
    <w:rsid w:val="006A7BC8"/>
    <w:rsid w:val="006B0001"/>
    <w:rsid w:val="006B054B"/>
    <w:rsid w:val="006B059F"/>
    <w:rsid w:val="006B0E3A"/>
    <w:rsid w:val="006B2048"/>
    <w:rsid w:val="006B215A"/>
    <w:rsid w:val="006B2AD6"/>
    <w:rsid w:val="006B342E"/>
    <w:rsid w:val="006B3812"/>
    <w:rsid w:val="006B3B80"/>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D76CB"/>
    <w:rsid w:val="006E0455"/>
    <w:rsid w:val="006E4238"/>
    <w:rsid w:val="006E4551"/>
    <w:rsid w:val="006E5F01"/>
    <w:rsid w:val="006E7033"/>
    <w:rsid w:val="006E7404"/>
    <w:rsid w:val="006E7B97"/>
    <w:rsid w:val="006F05B9"/>
    <w:rsid w:val="006F1972"/>
    <w:rsid w:val="006F1EA3"/>
    <w:rsid w:val="006F2627"/>
    <w:rsid w:val="006F2A57"/>
    <w:rsid w:val="006F3187"/>
    <w:rsid w:val="006F3568"/>
    <w:rsid w:val="006F40AD"/>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01D7"/>
    <w:rsid w:val="007110E1"/>
    <w:rsid w:val="00711B18"/>
    <w:rsid w:val="007126D1"/>
    <w:rsid w:val="00714394"/>
    <w:rsid w:val="00714C87"/>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27C81"/>
    <w:rsid w:val="00730B33"/>
    <w:rsid w:val="00734510"/>
    <w:rsid w:val="00734887"/>
    <w:rsid w:val="007365B6"/>
    <w:rsid w:val="00737394"/>
    <w:rsid w:val="007401E2"/>
    <w:rsid w:val="00740205"/>
    <w:rsid w:val="007411E5"/>
    <w:rsid w:val="00741605"/>
    <w:rsid w:val="00742788"/>
    <w:rsid w:val="007436F2"/>
    <w:rsid w:val="00743B2E"/>
    <w:rsid w:val="0074436D"/>
    <w:rsid w:val="00746951"/>
    <w:rsid w:val="00746F65"/>
    <w:rsid w:val="007472C3"/>
    <w:rsid w:val="0074791E"/>
    <w:rsid w:val="00750948"/>
    <w:rsid w:val="00750A23"/>
    <w:rsid w:val="0075115D"/>
    <w:rsid w:val="00751A33"/>
    <w:rsid w:val="00753890"/>
    <w:rsid w:val="0075466D"/>
    <w:rsid w:val="007555DF"/>
    <w:rsid w:val="007569DC"/>
    <w:rsid w:val="0075711E"/>
    <w:rsid w:val="00757549"/>
    <w:rsid w:val="007579F2"/>
    <w:rsid w:val="00761434"/>
    <w:rsid w:val="00761FD5"/>
    <w:rsid w:val="00762BB6"/>
    <w:rsid w:val="0076341D"/>
    <w:rsid w:val="0076446D"/>
    <w:rsid w:val="007647EF"/>
    <w:rsid w:val="00765DD8"/>
    <w:rsid w:val="00766230"/>
    <w:rsid w:val="00766B33"/>
    <w:rsid w:val="00766D36"/>
    <w:rsid w:val="00767607"/>
    <w:rsid w:val="00767ACD"/>
    <w:rsid w:val="007705B5"/>
    <w:rsid w:val="0077270D"/>
    <w:rsid w:val="00773874"/>
    <w:rsid w:val="0077393B"/>
    <w:rsid w:val="00775D3B"/>
    <w:rsid w:val="0077615A"/>
    <w:rsid w:val="007806A0"/>
    <w:rsid w:val="00782346"/>
    <w:rsid w:val="007838CD"/>
    <w:rsid w:val="007839A9"/>
    <w:rsid w:val="007840F3"/>
    <w:rsid w:val="007849BE"/>
    <w:rsid w:val="00785491"/>
    <w:rsid w:val="007858C0"/>
    <w:rsid w:val="0078679A"/>
    <w:rsid w:val="00786BDC"/>
    <w:rsid w:val="007871FE"/>
    <w:rsid w:val="00787C89"/>
    <w:rsid w:val="007908ED"/>
    <w:rsid w:val="00790F74"/>
    <w:rsid w:val="00792014"/>
    <w:rsid w:val="007921CD"/>
    <w:rsid w:val="00792288"/>
    <w:rsid w:val="00792447"/>
    <w:rsid w:val="007928C6"/>
    <w:rsid w:val="00792E73"/>
    <w:rsid w:val="0079694C"/>
    <w:rsid w:val="007A0187"/>
    <w:rsid w:val="007A19AC"/>
    <w:rsid w:val="007A268F"/>
    <w:rsid w:val="007A29EC"/>
    <w:rsid w:val="007A4A53"/>
    <w:rsid w:val="007A4C93"/>
    <w:rsid w:val="007A4E17"/>
    <w:rsid w:val="007A7F6D"/>
    <w:rsid w:val="007B0FBD"/>
    <w:rsid w:val="007B10EC"/>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335"/>
    <w:rsid w:val="007D358B"/>
    <w:rsid w:val="007D370E"/>
    <w:rsid w:val="007D4624"/>
    <w:rsid w:val="007D4A8F"/>
    <w:rsid w:val="007D563E"/>
    <w:rsid w:val="007D5A49"/>
    <w:rsid w:val="007D5FC1"/>
    <w:rsid w:val="007D6EB6"/>
    <w:rsid w:val="007D715A"/>
    <w:rsid w:val="007E002B"/>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577"/>
    <w:rsid w:val="008349A6"/>
    <w:rsid w:val="00835271"/>
    <w:rsid w:val="00835679"/>
    <w:rsid w:val="008377DA"/>
    <w:rsid w:val="00841F21"/>
    <w:rsid w:val="00842991"/>
    <w:rsid w:val="008429B0"/>
    <w:rsid w:val="00843900"/>
    <w:rsid w:val="00844C5B"/>
    <w:rsid w:val="00845A15"/>
    <w:rsid w:val="0084632F"/>
    <w:rsid w:val="008474A9"/>
    <w:rsid w:val="00851180"/>
    <w:rsid w:val="00852528"/>
    <w:rsid w:val="0085434F"/>
    <w:rsid w:val="008543F7"/>
    <w:rsid w:val="008545DC"/>
    <w:rsid w:val="00854A7E"/>
    <w:rsid w:val="00855B06"/>
    <w:rsid w:val="00856B95"/>
    <w:rsid w:val="00856D1A"/>
    <w:rsid w:val="00857D29"/>
    <w:rsid w:val="00861313"/>
    <w:rsid w:val="0086161C"/>
    <w:rsid w:val="008617AF"/>
    <w:rsid w:val="00861DB0"/>
    <w:rsid w:val="00861E83"/>
    <w:rsid w:val="0086225C"/>
    <w:rsid w:val="008629A8"/>
    <w:rsid w:val="00863225"/>
    <w:rsid w:val="00863ADA"/>
    <w:rsid w:val="00865BAA"/>
    <w:rsid w:val="00865C83"/>
    <w:rsid w:val="008677CB"/>
    <w:rsid w:val="0087026D"/>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382"/>
    <w:rsid w:val="0089046A"/>
    <w:rsid w:val="00891106"/>
    <w:rsid w:val="00892833"/>
    <w:rsid w:val="00892DCB"/>
    <w:rsid w:val="00893479"/>
    <w:rsid w:val="0089375D"/>
    <w:rsid w:val="008943CB"/>
    <w:rsid w:val="008946B9"/>
    <w:rsid w:val="008A0882"/>
    <w:rsid w:val="008A10C1"/>
    <w:rsid w:val="008A181A"/>
    <w:rsid w:val="008A183F"/>
    <w:rsid w:val="008A1C47"/>
    <w:rsid w:val="008A2289"/>
    <w:rsid w:val="008A34BA"/>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C0669"/>
    <w:rsid w:val="008C0814"/>
    <w:rsid w:val="008C08A5"/>
    <w:rsid w:val="008C1DD7"/>
    <w:rsid w:val="008C26FA"/>
    <w:rsid w:val="008C2BC1"/>
    <w:rsid w:val="008C4566"/>
    <w:rsid w:val="008C46B6"/>
    <w:rsid w:val="008C4935"/>
    <w:rsid w:val="008C522A"/>
    <w:rsid w:val="008C5E71"/>
    <w:rsid w:val="008C64E3"/>
    <w:rsid w:val="008C6A8B"/>
    <w:rsid w:val="008C77F7"/>
    <w:rsid w:val="008D00EA"/>
    <w:rsid w:val="008D0D1E"/>
    <w:rsid w:val="008D1175"/>
    <w:rsid w:val="008D1627"/>
    <w:rsid w:val="008D1DA0"/>
    <w:rsid w:val="008D2828"/>
    <w:rsid w:val="008D284E"/>
    <w:rsid w:val="008D4ED3"/>
    <w:rsid w:val="008D54BF"/>
    <w:rsid w:val="008D5DC6"/>
    <w:rsid w:val="008D6A11"/>
    <w:rsid w:val="008E0D4B"/>
    <w:rsid w:val="008E1C27"/>
    <w:rsid w:val="008E1E54"/>
    <w:rsid w:val="008E2057"/>
    <w:rsid w:val="008E31EC"/>
    <w:rsid w:val="008E3C88"/>
    <w:rsid w:val="008E488D"/>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A00"/>
    <w:rsid w:val="00904EAB"/>
    <w:rsid w:val="00904EAC"/>
    <w:rsid w:val="00905282"/>
    <w:rsid w:val="00905908"/>
    <w:rsid w:val="00906AD1"/>
    <w:rsid w:val="009075A4"/>
    <w:rsid w:val="009101AF"/>
    <w:rsid w:val="00911808"/>
    <w:rsid w:val="009145FB"/>
    <w:rsid w:val="0091555E"/>
    <w:rsid w:val="00915786"/>
    <w:rsid w:val="0091746C"/>
    <w:rsid w:val="00917816"/>
    <w:rsid w:val="00917D06"/>
    <w:rsid w:val="009207DB"/>
    <w:rsid w:val="00921202"/>
    <w:rsid w:val="00922024"/>
    <w:rsid w:val="009222A3"/>
    <w:rsid w:val="009224EE"/>
    <w:rsid w:val="00922D24"/>
    <w:rsid w:val="00924853"/>
    <w:rsid w:val="009252E0"/>
    <w:rsid w:val="00925501"/>
    <w:rsid w:val="00926982"/>
    <w:rsid w:val="00926D4C"/>
    <w:rsid w:val="009270C4"/>
    <w:rsid w:val="0093083B"/>
    <w:rsid w:val="0093092B"/>
    <w:rsid w:val="009319D7"/>
    <w:rsid w:val="009325F7"/>
    <w:rsid w:val="00932BCF"/>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2120"/>
    <w:rsid w:val="00942292"/>
    <w:rsid w:val="0094245E"/>
    <w:rsid w:val="009425F7"/>
    <w:rsid w:val="00943BC0"/>
    <w:rsid w:val="00944BF0"/>
    <w:rsid w:val="00945EC2"/>
    <w:rsid w:val="00946136"/>
    <w:rsid w:val="00946CD9"/>
    <w:rsid w:val="00946E7C"/>
    <w:rsid w:val="00947046"/>
    <w:rsid w:val="00950297"/>
    <w:rsid w:val="009505F4"/>
    <w:rsid w:val="00951216"/>
    <w:rsid w:val="00951614"/>
    <w:rsid w:val="0095279B"/>
    <w:rsid w:val="009533C3"/>
    <w:rsid w:val="009535D3"/>
    <w:rsid w:val="00953807"/>
    <w:rsid w:val="00954282"/>
    <w:rsid w:val="00954427"/>
    <w:rsid w:val="0095611C"/>
    <w:rsid w:val="009564ED"/>
    <w:rsid w:val="00956CA2"/>
    <w:rsid w:val="0096079B"/>
    <w:rsid w:val="0096218D"/>
    <w:rsid w:val="00964509"/>
    <w:rsid w:val="0096501B"/>
    <w:rsid w:val="0096625E"/>
    <w:rsid w:val="0096662B"/>
    <w:rsid w:val="009666AF"/>
    <w:rsid w:val="00967180"/>
    <w:rsid w:val="0096797D"/>
    <w:rsid w:val="00970704"/>
    <w:rsid w:val="00970B65"/>
    <w:rsid w:val="00970D66"/>
    <w:rsid w:val="00971127"/>
    <w:rsid w:val="0097119E"/>
    <w:rsid w:val="009718E9"/>
    <w:rsid w:val="009734B8"/>
    <w:rsid w:val="00973514"/>
    <w:rsid w:val="009739F9"/>
    <w:rsid w:val="009741E7"/>
    <w:rsid w:val="00975C75"/>
    <w:rsid w:val="00977506"/>
    <w:rsid w:val="00977DFD"/>
    <w:rsid w:val="0098177A"/>
    <w:rsid w:val="00983583"/>
    <w:rsid w:val="00983EFD"/>
    <w:rsid w:val="009855B0"/>
    <w:rsid w:val="009859A8"/>
    <w:rsid w:val="00985F2F"/>
    <w:rsid w:val="00986257"/>
    <w:rsid w:val="00986564"/>
    <w:rsid w:val="0098658A"/>
    <w:rsid w:val="00986861"/>
    <w:rsid w:val="00987CBC"/>
    <w:rsid w:val="00991EB0"/>
    <w:rsid w:val="0099212B"/>
    <w:rsid w:val="0099245F"/>
    <w:rsid w:val="00993891"/>
    <w:rsid w:val="00995768"/>
    <w:rsid w:val="00995F21"/>
    <w:rsid w:val="00996203"/>
    <w:rsid w:val="00996326"/>
    <w:rsid w:val="009964FB"/>
    <w:rsid w:val="00996F95"/>
    <w:rsid w:val="00997B35"/>
    <w:rsid w:val="00997EA5"/>
    <w:rsid w:val="009A07D5"/>
    <w:rsid w:val="009A1FE7"/>
    <w:rsid w:val="009A2967"/>
    <w:rsid w:val="009A3274"/>
    <w:rsid w:val="009A36B7"/>
    <w:rsid w:val="009A3720"/>
    <w:rsid w:val="009A392B"/>
    <w:rsid w:val="009A3D58"/>
    <w:rsid w:val="009A42CF"/>
    <w:rsid w:val="009A44E8"/>
    <w:rsid w:val="009A581E"/>
    <w:rsid w:val="009A698D"/>
    <w:rsid w:val="009A6AB4"/>
    <w:rsid w:val="009B1DA5"/>
    <w:rsid w:val="009B1E1D"/>
    <w:rsid w:val="009B28FD"/>
    <w:rsid w:val="009B2AD6"/>
    <w:rsid w:val="009B3172"/>
    <w:rsid w:val="009B461D"/>
    <w:rsid w:val="009B4F1F"/>
    <w:rsid w:val="009B5594"/>
    <w:rsid w:val="009B59ED"/>
    <w:rsid w:val="009B6405"/>
    <w:rsid w:val="009B6D8D"/>
    <w:rsid w:val="009B729E"/>
    <w:rsid w:val="009B7498"/>
    <w:rsid w:val="009C217C"/>
    <w:rsid w:val="009C264B"/>
    <w:rsid w:val="009C34F1"/>
    <w:rsid w:val="009C3B80"/>
    <w:rsid w:val="009C3D84"/>
    <w:rsid w:val="009C3F5A"/>
    <w:rsid w:val="009C48C6"/>
    <w:rsid w:val="009C5D76"/>
    <w:rsid w:val="009C5DFB"/>
    <w:rsid w:val="009C5FDE"/>
    <w:rsid w:val="009C623B"/>
    <w:rsid w:val="009C69E7"/>
    <w:rsid w:val="009C7B1D"/>
    <w:rsid w:val="009C7F10"/>
    <w:rsid w:val="009C7FF8"/>
    <w:rsid w:val="009D03F1"/>
    <w:rsid w:val="009D0921"/>
    <w:rsid w:val="009D101B"/>
    <w:rsid w:val="009D118E"/>
    <w:rsid w:val="009D1CF4"/>
    <w:rsid w:val="009D271A"/>
    <w:rsid w:val="009D380F"/>
    <w:rsid w:val="009D57A7"/>
    <w:rsid w:val="009D65EE"/>
    <w:rsid w:val="009D6865"/>
    <w:rsid w:val="009D6903"/>
    <w:rsid w:val="009E02F1"/>
    <w:rsid w:val="009E0525"/>
    <w:rsid w:val="009E199C"/>
    <w:rsid w:val="009E1F76"/>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25E5"/>
    <w:rsid w:val="00A04B2F"/>
    <w:rsid w:val="00A054CB"/>
    <w:rsid w:val="00A05E8F"/>
    <w:rsid w:val="00A06A54"/>
    <w:rsid w:val="00A10423"/>
    <w:rsid w:val="00A10A6F"/>
    <w:rsid w:val="00A115B1"/>
    <w:rsid w:val="00A118B4"/>
    <w:rsid w:val="00A129C6"/>
    <w:rsid w:val="00A14BDD"/>
    <w:rsid w:val="00A15A52"/>
    <w:rsid w:val="00A169FE"/>
    <w:rsid w:val="00A1706F"/>
    <w:rsid w:val="00A1721D"/>
    <w:rsid w:val="00A20630"/>
    <w:rsid w:val="00A20956"/>
    <w:rsid w:val="00A210DB"/>
    <w:rsid w:val="00A21667"/>
    <w:rsid w:val="00A220FB"/>
    <w:rsid w:val="00A223A5"/>
    <w:rsid w:val="00A22946"/>
    <w:rsid w:val="00A23770"/>
    <w:rsid w:val="00A241FD"/>
    <w:rsid w:val="00A24BC5"/>
    <w:rsid w:val="00A2504C"/>
    <w:rsid w:val="00A26CA4"/>
    <w:rsid w:val="00A26D2E"/>
    <w:rsid w:val="00A26E5D"/>
    <w:rsid w:val="00A276A6"/>
    <w:rsid w:val="00A276FF"/>
    <w:rsid w:val="00A27A41"/>
    <w:rsid w:val="00A30C82"/>
    <w:rsid w:val="00A31A01"/>
    <w:rsid w:val="00A32211"/>
    <w:rsid w:val="00A33842"/>
    <w:rsid w:val="00A33A1E"/>
    <w:rsid w:val="00A33FDC"/>
    <w:rsid w:val="00A34114"/>
    <w:rsid w:val="00A34C81"/>
    <w:rsid w:val="00A34E19"/>
    <w:rsid w:val="00A35C90"/>
    <w:rsid w:val="00A362F9"/>
    <w:rsid w:val="00A36BE7"/>
    <w:rsid w:val="00A36F35"/>
    <w:rsid w:val="00A373CC"/>
    <w:rsid w:val="00A3760C"/>
    <w:rsid w:val="00A37704"/>
    <w:rsid w:val="00A378A0"/>
    <w:rsid w:val="00A37E59"/>
    <w:rsid w:val="00A40108"/>
    <w:rsid w:val="00A404AF"/>
    <w:rsid w:val="00A40D0C"/>
    <w:rsid w:val="00A41302"/>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943"/>
    <w:rsid w:val="00A60A2E"/>
    <w:rsid w:val="00A60A60"/>
    <w:rsid w:val="00A61263"/>
    <w:rsid w:val="00A614AD"/>
    <w:rsid w:val="00A61608"/>
    <w:rsid w:val="00A616BD"/>
    <w:rsid w:val="00A61886"/>
    <w:rsid w:val="00A61E92"/>
    <w:rsid w:val="00A63D89"/>
    <w:rsid w:val="00A63EF3"/>
    <w:rsid w:val="00A650F1"/>
    <w:rsid w:val="00A6526E"/>
    <w:rsid w:val="00A65DA4"/>
    <w:rsid w:val="00A66E04"/>
    <w:rsid w:val="00A67194"/>
    <w:rsid w:val="00A671B3"/>
    <w:rsid w:val="00A67864"/>
    <w:rsid w:val="00A70242"/>
    <w:rsid w:val="00A7040E"/>
    <w:rsid w:val="00A7286F"/>
    <w:rsid w:val="00A734F2"/>
    <w:rsid w:val="00A73DEE"/>
    <w:rsid w:val="00A74678"/>
    <w:rsid w:val="00A75AEA"/>
    <w:rsid w:val="00A76063"/>
    <w:rsid w:val="00A767EB"/>
    <w:rsid w:val="00A771BF"/>
    <w:rsid w:val="00A77299"/>
    <w:rsid w:val="00A803C1"/>
    <w:rsid w:val="00A815B6"/>
    <w:rsid w:val="00A81953"/>
    <w:rsid w:val="00A823D7"/>
    <w:rsid w:val="00A827C9"/>
    <w:rsid w:val="00A8350D"/>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78"/>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F06"/>
    <w:rsid w:val="00AB4FFF"/>
    <w:rsid w:val="00AB5190"/>
    <w:rsid w:val="00AB5513"/>
    <w:rsid w:val="00AB5A0C"/>
    <w:rsid w:val="00AB6070"/>
    <w:rsid w:val="00AB6DFC"/>
    <w:rsid w:val="00AB7354"/>
    <w:rsid w:val="00AB7C46"/>
    <w:rsid w:val="00AB7DD5"/>
    <w:rsid w:val="00AC05D0"/>
    <w:rsid w:val="00AC3637"/>
    <w:rsid w:val="00AC3D4F"/>
    <w:rsid w:val="00AC3DB7"/>
    <w:rsid w:val="00AC4699"/>
    <w:rsid w:val="00AC5650"/>
    <w:rsid w:val="00AC59DF"/>
    <w:rsid w:val="00AC72C7"/>
    <w:rsid w:val="00AC7899"/>
    <w:rsid w:val="00AD13D6"/>
    <w:rsid w:val="00AD4087"/>
    <w:rsid w:val="00AD4E84"/>
    <w:rsid w:val="00AD629C"/>
    <w:rsid w:val="00AD6A21"/>
    <w:rsid w:val="00AD6BE0"/>
    <w:rsid w:val="00AD752F"/>
    <w:rsid w:val="00AE0C8D"/>
    <w:rsid w:val="00AE0E2A"/>
    <w:rsid w:val="00AE1411"/>
    <w:rsid w:val="00AE19B4"/>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190C"/>
    <w:rsid w:val="00B01C3F"/>
    <w:rsid w:val="00B02315"/>
    <w:rsid w:val="00B02BF0"/>
    <w:rsid w:val="00B02EA8"/>
    <w:rsid w:val="00B034DD"/>
    <w:rsid w:val="00B03AB4"/>
    <w:rsid w:val="00B05B91"/>
    <w:rsid w:val="00B06ED4"/>
    <w:rsid w:val="00B077CC"/>
    <w:rsid w:val="00B07A28"/>
    <w:rsid w:val="00B102E7"/>
    <w:rsid w:val="00B12A63"/>
    <w:rsid w:val="00B13397"/>
    <w:rsid w:val="00B1400D"/>
    <w:rsid w:val="00B147C9"/>
    <w:rsid w:val="00B15BB2"/>
    <w:rsid w:val="00B16EBE"/>
    <w:rsid w:val="00B20E3B"/>
    <w:rsid w:val="00B21D0E"/>
    <w:rsid w:val="00B22C57"/>
    <w:rsid w:val="00B23C76"/>
    <w:rsid w:val="00B23EEE"/>
    <w:rsid w:val="00B27298"/>
    <w:rsid w:val="00B27384"/>
    <w:rsid w:val="00B276E4"/>
    <w:rsid w:val="00B27A6D"/>
    <w:rsid w:val="00B309F9"/>
    <w:rsid w:val="00B30DAD"/>
    <w:rsid w:val="00B31782"/>
    <w:rsid w:val="00B3402E"/>
    <w:rsid w:val="00B360B7"/>
    <w:rsid w:val="00B36928"/>
    <w:rsid w:val="00B37293"/>
    <w:rsid w:val="00B4076A"/>
    <w:rsid w:val="00B413EB"/>
    <w:rsid w:val="00B428F3"/>
    <w:rsid w:val="00B42C20"/>
    <w:rsid w:val="00B43287"/>
    <w:rsid w:val="00B43864"/>
    <w:rsid w:val="00B43AD9"/>
    <w:rsid w:val="00B443D5"/>
    <w:rsid w:val="00B44482"/>
    <w:rsid w:val="00B450D9"/>
    <w:rsid w:val="00B46FF2"/>
    <w:rsid w:val="00B51B75"/>
    <w:rsid w:val="00B52AD3"/>
    <w:rsid w:val="00B539EB"/>
    <w:rsid w:val="00B54B76"/>
    <w:rsid w:val="00B55ECC"/>
    <w:rsid w:val="00B560E5"/>
    <w:rsid w:val="00B5610F"/>
    <w:rsid w:val="00B576E1"/>
    <w:rsid w:val="00B6088D"/>
    <w:rsid w:val="00B608F1"/>
    <w:rsid w:val="00B60F79"/>
    <w:rsid w:val="00B61158"/>
    <w:rsid w:val="00B6252C"/>
    <w:rsid w:val="00B62CBE"/>
    <w:rsid w:val="00B62EFD"/>
    <w:rsid w:val="00B63999"/>
    <w:rsid w:val="00B63B4A"/>
    <w:rsid w:val="00B63E1F"/>
    <w:rsid w:val="00B641C5"/>
    <w:rsid w:val="00B64F8D"/>
    <w:rsid w:val="00B6533C"/>
    <w:rsid w:val="00B65388"/>
    <w:rsid w:val="00B6731A"/>
    <w:rsid w:val="00B673CA"/>
    <w:rsid w:val="00B70903"/>
    <w:rsid w:val="00B7108D"/>
    <w:rsid w:val="00B7117A"/>
    <w:rsid w:val="00B713F0"/>
    <w:rsid w:val="00B72053"/>
    <w:rsid w:val="00B733A9"/>
    <w:rsid w:val="00B73BEF"/>
    <w:rsid w:val="00B74530"/>
    <w:rsid w:val="00B7458C"/>
    <w:rsid w:val="00B74E4D"/>
    <w:rsid w:val="00B75D3F"/>
    <w:rsid w:val="00B75D4C"/>
    <w:rsid w:val="00B76F2C"/>
    <w:rsid w:val="00B77723"/>
    <w:rsid w:val="00B77863"/>
    <w:rsid w:val="00B801AC"/>
    <w:rsid w:val="00B815D3"/>
    <w:rsid w:val="00B8270D"/>
    <w:rsid w:val="00B827F1"/>
    <w:rsid w:val="00B82B33"/>
    <w:rsid w:val="00B8384C"/>
    <w:rsid w:val="00B843A1"/>
    <w:rsid w:val="00B8441F"/>
    <w:rsid w:val="00B854BE"/>
    <w:rsid w:val="00B85704"/>
    <w:rsid w:val="00B86421"/>
    <w:rsid w:val="00B866BF"/>
    <w:rsid w:val="00B868D6"/>
    <w:rsid w:val="00B86D0A"/>
    <w:rsid w:val="00B8748B"/>
    <w:rsid w:val="00B87B3F"/>
    <w:rsid w:val="00B90972"/>
    <w:rsid w:val="00B91818"/>
    <w:rsid w:val="00B922D6"/>
    <w:rsid w:val="00B92819"/>
    <w:rsid w:val="00B93E18"/>
    <w:rsid w:val="00B93E2C"/>
    <w:rsid w:val="00B94BE5"/>
    <w:rsid w:val="00B95B44"/>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7"/>
    <w:rsid w:val="00BB2D1B"/>
    <w:rsid w:val="00BB42D2"/>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64C"/>
    <w:rsid w:val="00BD78C6"/>
    <w:rsid w:val="00BE01E1"/>
    <w:rsid w:val="00BE07A5"/>
    <w:rsid w:val="00BE15DA"/>
    <w:rsid w:val="00BE19AD"/>
    <w:rsid w:val="00BE369C"/>
    <w:rsid w:val="00BE4FBC"/>
    <w:rsid w:val="00BE5B7C"/>
    <w:rsid w:val="00BE6DBE"/>
    <w:rsid w:val="00BE72FD"/>
    <w:rsid w:val="00BE733C"/>
    <w:rsid w:val="00BE73D4"/>
    <w:rsid w:val="00BE7AF2"/>
    <w:rsid w:val="00BF1EF8"/>
    <w:rsid w:val="00BF25A9"/>
    <w:rsid w:val="00BF2DE5"/>
    <w:rsid w:val="00BF4429"/>
    <w:rsid w:val="00BF4C49"/>
    <w:rsid w:val="00BF4D1A"/>
    <w:rsid w:val="00BF5168"/>
    <w:rsid w:val="00BF51C9"/>
    <w:rsid w:val="00BF5A5B"/>
    <w:rsid w:val="00BF6338"/>
    <w:rsid w:val="00BF6D56"/>
    <w:rsid w:val="00BF7EB2"/>
    <w:rsid w:val="00C00D03"/>
    <w:rsid w:val="00C00D9C"/>
    <w:rsid w:val="00C01DFC"/>
    <w:rsid w:val="00C0270E"/>
    <w:rsid w:val="00C0282B"/>
    <w:rsid w:val="00C03262"/>
    <w:rsid w:val="00C047A4"/>
    <w:rsid w:val="00C05013"/>
    <w:rsid w:val="00C067E0"/>
    <w:rsid w:val="00C0773D"/>
    <w:rsid w:val="00C1025D"/>
    <w:rsid w:val="00C11733"/>
    <w:rsid w:val="00C12CC1"/>
    <w:rsid w:val="00C12D93"/>
    <w:rsid w:val="00C12EE2"/>
    <w:rsid w:val="00C12EE5"/>
    <w:rsid w:val="00C1324B"/>
    <w:rsid w:val="00C139DE"/>
    <w:rsid w:val="00C13B55"/>
    <w:rsid w:val="00C13CB8"/>
    <w:rsid w:val="00C151CE"/>
    <w:rsid w:val="00C1561B"/>
    <w:rsid w:val="00C15BBB"/>
    <w:rsid w:val="00C16087"/>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7CB"/>
    <w:rsid w:val="00C35C8E"/>
    <w:rsid w:val="00C36B1D"/>
    <w:rsid w:val="00C3742C"/>
    <w:rsid w:val="00C410D2"/>
    <w:rsid w:val="00C41363"/>
    <w:rsid w:val="00C42A78"/>
    <w:rsid w:val="00C437D6"/>
    <w:rsid w:val="00C45C94"/>
    <w:rsid w:val="00C4601D"/>
    <w:rsid w:val="00C46612"/>
    <w:rsid w:val="00C509D2"/>
    <w:rsid w:val="00C51CCA"/>
    <w:rsid w:val="00C523ED"/>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3883"/>
    <w:rsid w:val="00C7443F"/>
    <w:rsid w:val="00C745D7"/>
    <w:rsid w:val="00C7702A"/>
    <w:rsid w:val="00C7732F"/>
    <w:rsid w:val="00C773C8"/>
    <w:rsid w:val="00C80A25"/>
    <w:rsid w:val="00C80E5E"/>
    <w:rsid w:val="00C82930"/>
    <w:rsid w:val="00C82C9E"/>
    <w:rsid w:val="00C841BF"/>
    <w:rsid w:val="00C84F61"/>
    <w:rsid w:val="00C8531E"/>
    <w:rsid w:val="00C85560"/>
    <w:rsid w:val="00C85A3E"/>
    <w:rsid w:val="00C85A50"/>
    <w:rsid w:val="00C85B6C"/>
    <w:rsid w:val="00C85ECE"/>
    <w:rsid w:val="00C86BFE"/>
    <w:rsid w:val="00C86D8A"/>
    <w:rsid w:val="00C86FF3"/>
    <w:rsid w:val="00C87E2F"/>
    <w:rsid w:val="00C900B0"/>
    <w:rsid w:val="00C9080B"/>
    <w:rsid w:val="00C90EA7"/>
    <w:rsid w:val="00C90EF9"/>
    <w:rsid w:val="00C9146C"/>
    <w:rsid w:val="00C91711"/>
    <w:rsid w:val="00C91A95"/>
    <w:rsid w:val="00C92931"/>
    <w:rsid w:val="00C92949"/>
    <w:rsid w:val="00C9312F"/>
    <w:rsid w:val="00C94499"/>
    <w:rsid w:val="00C9491A"/>
    <w:rsid w:val="00C94BE9"/>
    <w:rsid w:val="00C95DD7"/>
    <w:rsid w:val="00C95ED6"/>
    <w:rsid w:val="00C96BBB"/>
    <w:rsid w:val="00CA04D5"/>
    <w:rsid w:val="00CA1AC8"/>
    <w:rsid w:val="00CA1FB0"/>
    <w:rsid w:val="00CA24D1"/>
    <w:rsid w:val="00CA2AD9"/>
    <w:rsid w:val="00CA39CC"/>
    <w:rsid w:val="00CA3C11"/>
    <w:rsid w:val="00CA403D"/>
    <w:rsid w:val="00CA4743"/>
    <w:rsid w:val="00CA57FE"/>
    <w:rsid w:val="00CA5FF6"/>
    <w:rsid w:val="00CA6F32"/>
    <w:rsid w:val="00CA735E"/>
    <w:rsid w:val="00CB01B1"/>
    <w:rsid w:val="00CB138F"/>
    <w:rsid w:val="00CB13CF"/>
    <w:rsid w:val="00CB13E0"/>
    <w:rsid w:val="00CB2282"/>
    <w:rsid w:val="00CB2F02"/>
    <w:rsid w:val="00CB44CC"/>
    <w:rsid w:val="00CB4522"/>
    <w:rsid w:val="00CB76B8"/>
    <w:rsid w:val="00CB7703"/>
    <w:rsid w:val="00CB77EE"/>
    <w:rsid w:val="00CB783B"/>
    <w:rsid w:val="00CB7AE2"/>
    <w:rsid w:val="00CC1C1E"/>
    <w:rsid w:val="00CC2611"/>
    <w:rsid w:val="00CC2803"/>
    <w:rsid w:val="00CC295E"/>
    <w:rsid w:val="00CC48D6"/>
    <w:rsid w:val="00CC4B7F"/>
    <w:rsid w:val="00CC544C"/>
    <w:rsid w:val="00CC559E"/>
    <w:rsid w:val="00CC707F"/>
    <w:rsid w:val="00CC708A"/>
    <w:rsid w:val="00CC79CD"/>
    <w:rsid w:val="00CD0365"/>
    <w:rsid w:val="00CD1447"/>
    <w:rsid w:val="00CD1841"/>
    <w:rsid w:val="00CD1BF1"/>
    <w:rsid w:val="00CD1D2E"/>
    <w:rsid w:val="00CD27CD"/>
    <w:rsid w:val="00CD4BF8"/>
    <w:rsid w:val="00CD52CD"/>
    <w:rsid w:val="00CD652E"/>
    <w:rsid w:val="00CD6828"/>
    <w:rsid w:val="00CD685C"/>
    <w:rsid w:val="00CD68DD"/>
    <w:rsid w:val="00CD7B8B"/>
    <w:rsid w:val="00CE01F8"/>
    <w:rsid w:val="00CE0D43"/>
    <w:rsid w:val="00CE24B9"/>
    <w:rsid w:val="00CE2B04"/>
    <w:rsid w:val="00CE3E8B"/>
    <w:rsid w:val="00CE47DC"/>
    <w:rsid w:val="00CE5298"/>
    <w:rsid w:val="00CE5322"/>
    <w:rsid w:val="00CE58EB"/>
    <w:rsid w:val="00CE6939"/>
    <w:rsid w:val="00CE705F"/>
    <w:rsid w:val="00CE745E"/>
    <w:rsid w:val="00CF0041"/>
    <w:rsid w:val="00CF0D4B"/>
    <w:rsid w:val="00CF2605"/>
    <w:rsid w:val="00CF2804"/>
    <w:rsid w:val="00CF35B2"/>
    <w:rsid w:val="00CF36C4"/>
    <w:rsid w:val="00CF38D4"/>
    <w:rsid w:val="00CF5C07"/>
    <w:rsid w:val="00CF5CFC"/>
    <w:rsid w:val="00D00272"/>
    <w:rsid w:val="00D00AF5"/>
    <w:rsid w:val="00D00E75"/>
    <w:rsid w:val="00D00EE2"/>
    <w:rsid w:val="00D01917"/>
    <w:rsid w:val="00D01EBC"/>
    <w:rsid w:val="00D036AC"/>
    <w:rsid w:val="00D03DE1"/>
    <w:rsid w:val="00D03EDD"/>
    <w:rsid w:val="00D03EEF"/>
    <w:rsid w:val="00D04F08"/>
    <w:rsid w:val="00D050BB"/>
    <w:rsid w:val="00D07010"/>
    <w:rsid w:val="00D07087"/>
    <w:rsid w:val="00D07A1B"/>
    <w:rsid w:val="00D07E2A"/>
    <w:rsid w:val="00D11666"/>
    <w:rsid w:val="00D11D07"/>
    <w:rsid w:val="00D138F2"/>
    <w:rsid w:val="00D1489F"/>
    <w:rsid w:val="00D159F8"/>
    <w:rsid w:val="00D15DD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5DF4"/>
    <w:rsid w:val="00D27131"/>
    <w:rsid w:val="00D31AD0"/>
    <w:rsid w:val="00D31BBD"/>
    <w:rsid w:val="00D34305"/>
    <w:rsid w:val="00D34E83"/>
    <w:rsid w:val="00D35189"/>
    <w:rsid w:val="00D352D0"/>
    <w:rsid w:val="00D37354"/>
    <w:rsid w:val="00D404B1"/>
    <w:rsid w:val="00D4104F"/>
    <w:rsid w:val="00D43988"/>
    <w:rsid w:val="00D4707E"/>
    <w:rsid w:val="00D47238"/>
    <w:rsid w:val="00D4762C"/>
    <w:rsid w:val="00D47867"/>
    <w:rsid w:val="00D47B4E"/>
    <w:rsid w:val="00D47EAF"/>
    <w:rsid w:val="00D50B2A"/>
    <w:rsid w:val="00D51517"/>
    <w:rsid w:val="00D52D4A"/>
    <w:rsid w:val="00D52D7F"/>
    <w:rsid w:val="00D53034"/>
    <w:rsid w:val="00D538B0"/>
    <w:rsid w:val="00D541A8"/>
    <w:rsid w:val="00D55A05"/>
    <w:rsid w:val="00D562A8"/>
    <w:rsid w:val="00D61A9F"/>
    <w:rsid w:val="00D61EDD"/>
    <w:rsid w:val="00D628AF"/>
    <w:rsid w:val="00D6294B"/>
    <w:rsid w:val="00D654F8"/>
    <w:rsid w:val="00D66697"/>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407"/>
    <w:rsid w:val="00D75449"/>
    <w:rsid w:val="00D7563E"/>
    <w:rsid w:val="00D76E21"/>
    <w:rsid w:val="00D770D5"/>
    <w:rsid w:val="00D809B7"/>
    <w:rsid w:val="00D812A9"/>
    <w:rsid w:val="00D813B0"/>
    <w:rsid w:val="00D8141C"/>
    <w:rsid w:val="00D81A57"/>
    <w:rsid w:val="00D81A98"/>
    <w:rsid w:val="00D8269A"/>
    <w:rsid w:val="00D82962"/>
    <w:rsid w:val="00D82A4C"/>
    <w:rsid w:val="00D830B5"/>
    <w:rsid w:val="00D83A65"/>
    <w:rsid w:val="00D846CF"/>
    <w:rsid w:val="00D84999"/>
    <w:rsid w:val="00D85683"/>
    <w:rsid w:val="00D86D21"/>
    <w:rsid w:val="00D8772B"/>
    <w:rsid w:val="00D9031D"/>
    <w:rsid w:val="00D90824"/>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0A19"/>
    <w:rsid w:val="00DA16AA"/>
    <w:rsid w:val="00DA28A7"/>
    <w:rsid w:val="00DA2BB0"/>
    <w:rsid w:val="00DA2FCA"/>
    <w:rsid w:val="00DA348E"/>
    <w:rsid w:val="00DA373A"/>
    <w:rsid w:val="00DA4A4E"/>
    <w:rsid w:val="00DA59D2"/>
    <w:rsid w:val="00DA5A9C"/>
    <w:rsid w:val="00DA5F60"/>
    <w:rsid w:val="00DA6E9D"/>
    <w:rsid w:val="00DA6FF3"/>
    <w:rsid w:val="00DB0066"/>
    <w:rsid w:val="00DB0F33"/>
    <w:rsid w:val="00DB1595"/>
    <w:rsid w:val="00DB297D"/>
    <w:rsid w:val="00DB2B7E"/>
    <w:rsid w:val="00DB2BA7"/>
    <w:rsid w:val="00DB2F6C"/>
    <w:rsid w:val="00DB345D"/>
    <w:rsid w:val="00DB5719"/>
    <w:rsid w:val="00DB624E"/>
    <w:rsid w:val="00DB65FF"/>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1C74"/>
    <w:rsid w:val="00DE1CCF"/>
    <w:rsid w:val="00DE3385"/>
    <w:rsid w:val="00DE3CA1"/>
    <w:rsid w:val="00DE4007"/>
    <w:rsid w:val="00DE4053"/>
    <w:rsid w:val="00DE4638"/>
    <w:rsid w:val="00DE4651"/>
    <w:rsid w:val="00DE4FEE"/>
    <w:rsid w:val="00DE534A"/>
    <w:rsid w:val="00DE55FD"/>
    <w:rsid w:val="00DE60A8"/>
    <w:rsid w:val="00DE7265"/>
    <w:rsid w:val="00DE7525"/>
    <w:rsid w:val="00DE7C1C"/>
    <w:rsid w:val="00DF0111"/>
    <w:rsid w:val="00DF01E6"/>
    <w:rsid w:val="00DF14DF"/>
    <w:rsid w:val="00DF2247"/>
    <w:rsid w:val="00DF2353"/>
    <w:rsid w:val="00DF3AB2"/>
    <w:rsid w:val="00DF4116"/>
    <w:rsid w:val="00DF5129"/>
    <w:rsid w:val="00DF5784"/>
    <w:rsid w:val="00DF58B8"/>
    <w:rsid w:val="00DF5FF8"/>
    <w:rsid w:val="00DF6EE5"/>
    <w:rsid w:val="00DF7E7E"/>
    <w:rsid w:val="00E0077B"/>
    <w:rsid w:val="00E00898"/>
    <w:rsid w:val="00E03634"/>
    <w:rsid w:val="00E050B6"/>
    <w:rsid w:val="00E0557E"/>
    <w:rsid w:val="00E05980"/>
    <w:rsid w:val="00E05D14"/>
    <w:rsid w:val="00E0628E"/>
    <w:rsid w:val="00E06460"/>
    <w:rsid w:val="00E073CF"/>
    <w:rsid w:val="00E07997"/>
    <w:rsid w:val="00E07A6A"/>
    <w:rsid w:val="00E07EB8"/>
    <w:rsid w:val="00E107B2"/>
    <w:rsid w:val="00E10EB1"/>
    <w:rsid w:val="00E114CF"/>
    <w:rsid w:val="00E120E4"/>
    <w:rsid w:val="00E13636"/>
    <w:rsid w:val="00E149F4"/>
    <w:rsid w:val="00E14A90"/>
    <w:rsid w:val="00E17F53"/>
    <w:rsid w:val="00E20354"/>
    <w:rsid w:val="00E207DB"/>
    <w:rsid w:val="00E20BB5"/>
    <w:rsid w:val="00E21F5A"/>
    <w:rsid w:val="00E221D8"/>
    <w:rsid w:val="00E234F1"/>
    <w:rsid w:val="00E23ACB"/>
    <w:rsid w:val="00E23BDA"/>
    <w:rsid w:val="00E25124"/>
    <w:rsid w:val="00E261F8"/>
    <w:rsid w:val="00E26E25"/>
    <w:rsid w:val="00E27DF3"/>
    <w:rsid w:val="00E3110A"/>
    <w:rsid w:val="00E319DC"/>
    <w:rsid w:val="00E324AD"/>
    <w:rsid w:val="00E3342D"/>
    <w:rsid w:val="00E33683"/>
    <w:rsid w:val="00E33734"/>
    <w:rsid w:val="00E33F82"/>
    <w:rsid w:val="00E34AA9"/>
    <w:rsid w:val="00E36A4F"/>
    <w:rsid w:val="00E376C4"/>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BB7"/>
    <w:rsid w:val="00E64EEE"/>
    <w:rsid w:val="00E66F49"/>
    <w:rsid w:val="00E721A9"/>
    <w:rsid w:val="00E73549"/>
    <w:rsid w:val="00E7484F"/>
    <w:rsid w:val="00E74861"/>
    <w:rsid w:val="00E74B50"/>
    <w:rsid w:val="00E74EC9"/>
    <w:rsid w:val="00E75572"/>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7AE4"/>
    <w:rsid w:val="00E90A5A"/>
    <w:rsid w:val="00E90C1F"/>
    <w:rsid w:val="00E9124A"/>
    <w:rsid w:val="00E9222C"/>
    <w:rsid w:val="00E9296D"/>
    <w:rsid w:val="00E92AA5"/>
    <w:rsid w:val="00E94509"/>
    <w:rsid w:val="00E94A0D"/>
    <w:rsid w:val="00E9558B"/>
    <w:rsid w:val="00E95A44"/>
    <w:rsid w:val="00E95D1B"/>
    <w:rsid w:val="00E969A4"/>
    <w:rsid w:val="00E9735C"/>
    <w:rsid w:val="00EA0266"/>
    <w:rsid w:val="00EA234B"/>
    <w:rsid w:val="00EA274B"/>
    <w:rsid w:val="00EA2EFA"/>
    <w:rsid w:val="00EA3184"/>
    <w:rsid w:val="00EA3732"/>
    <w:rsid w:val="00EA3794"/>
    <w:rsid w:val="00EA3CDD"/>
    <w:rsid w:val="00EA4124"/>
    <w:rsid w:val="00EA42EB"/>
    <w:rsid w:val="00EA5028"/>
    <w:rsid w:val="00EA50D6"/>
    <w:rsid w:val="00EA5714"/>
    <w:rsid w:val="00EA5E70"/>
    <w:rsid w:val="00EA60EF"/>
    <w:rsid w:val="00EA6A30"/>
    <w:rsid w:val="00EA6A41"/>
    <w:rsid w:val="00EA7662"/>
    <w:rsid w:val="00EA7CC3"/>
    <w:rsid w:val="00EB016F"/>
    <w:rsid w:val="00EB04F4"/>
    <w:rsid w:val="00EB05E3"/>
    <w:rsid w:val="00EB212C"/>
    <w:rsid w:val="00EB2216"/>
    <w:rsid w:val="00EB27D1"/>
    <w:rsid w:val="00EB33F4"/>
    <w:rsid w:val="00EB3B9C"/>
    <w:rsid w:val="00EB40E0"/>
    <w:rsid w:val="00EB4C04"/>
    <w:rsid w:val="00EB6502"/>
    <w:rsid w:val="00EB7D9C"/>
    <w:rsid w:val="00EC01F0"/>
    <w:rsid w:val="00EC1406"/>
    <w:rsid w:val="00EC1526"/>
    <w:rsid w:val="00EC23F3"/>
    <w:rsid w:val="00EC2677"/>
    <w:rsid w:val="00EC2AB5"/>
    <w:rsid w:val="00EC36F2"/>
    <w:rsid w:val="00EC4B79"/>
    <w:rsid w:val="00EC4F33"/>
    <w:rsid w:val="00EC7E82"/>
    <w:rsid w:val="00ED0B81"/>
    <w:rsid w:val="00ED19B3"/>
    <w:rsid w:val="00ED1A64"/>
    <w:rsid w:val="00ED28DD"/>
    <w:rsid w:val="00ED421C"/>
    <w:rsid w:val="00ED43A6"/>
    <w:rsid w:val="00ED4E89"/>
    <w:rsid w:val="00ED502A"/>
    <w:rsid w:val="00ED69B3"/>
    <w:rsid w:val="00ED6AF3"/>
    <w:rsid w:val="00ED6FB9"/>
    <w:rsid w:val="00ED7371"/>
    <w:rsid w:val="00ED7E2F"/>
    <w:rsid w:val="00ED7EA8"/>
    <w:rsid w:val="00EE1162"/>
    <w:rsid w:val="00EE1313"/>
    <w:rsid w:val="00EE2126"/>
    <w:rsid w:val="00EE3363"/>
    <w:rsid w:val="00EE3725"/>
    <w:rsid w:val="00EE3F3C"/>
    <w:rsid w:val="00EE4C7E"/>
    <w:rsid w:val="00EE556D"/>
    <w:rsid w:val="00EE60A2"/>
    <w:rsid w:val="00EE6184"/>
    <w:rsid w:val="00EE679C"/>
    <w:rsid w:val="00EE686B"/>
    <w:rsid w:val="00EE7596"/>
    <w:rsid w:val="00EE7A2C"/>
    <w:rsid w:val="00EF06D3"/>
    <w:rsid w:val="00EF09D3"/>
    <w:rsid w:val="00EF108A"/>
    <w:rsid w:val="00EF1240"/>
    <w:rsid w:val="00EF1F75"/>
    <w:rsid w:val="00EF2240"/>
    <w:rsid w:val="00EF297A"/>
    <w:rsid w:val="00EF3069"/>
    <w:rsid w:val="00EF31A5"/>
    <w:rsid w:val="00EF3742"/>
    <w:rsid w:val="00EF3EB5"/>
    <w:rsid w:val="00EF57B9"/>
    <w:rsid w:val="00EF57DF"/>
    <w:rsid w:val="00EF632B"/>
    <w:rsid w:val="00EF6556"/>
    <w:rsid w:val="00EF689A"/>
    <w:rsid w:val="00F02BAD"/>
    <w:rsid w:val="00F0319D"/>
    <w:rsid w:val="00F07890"/>
    <w:rsid w:val="00F07A4C"/>
    <w:rsid w:val="00F07B03"/>
    <w:rsid w:val="00F115A2"/>
    <w:rsid w:val="00F11635"/>
    <w:rsid w:val="00F11928"/>
    <w:rsid w:val="00F12D86"/>
    <w:rsid w:val="00F131AA"/>
    <w:rsid w:val="00F131FD"/>
    <w:rsid w:val="00F1350B"/>
    <w:rsid w:val="00F13B05"/>
    <w:rsid w:val="00F13B5A"/>
    <w:rsid w:val="00F13EED"/>
    <w:rsid w:val="00F15AF2"/>
    <w:rsid w:val="00F21290"/>
    <w:rsid w:val="00F2299F"/>
    <w:rsid w:val="00F231F0"/>
    <w:rsid w:val="00F24787"/>
    <w:rsid w:val="00F25311"/>
    <w:rsid w:val="00F259A5"/>
    <w:rsid w:val="00F263E5"/>
    <w:rsid w:val="00F301E0"/>
    <w:rsid w:val="00F307CC"/>
    <w:rsid w:val="00F30BBA"/>
    <w:rsid w:val="00F31630"/>
    <w:rsid w:val="00F31A8F"/>
    <w:rsid w:val="00F320C0"/>
    <w:rsid w:val="00F32D63"/>
    <w:rsid w:val="00F33C8D"/>
    <w:rsid w:val="00F34012"/>
    <w:rsid w:val="00F343A3"/>
    <w:rsid w:val="00F34C99"/>
    <w:rsid w:val="00F3531A"/>
    <w:rsid w:val="00F353E8"/>
    <w:rsid w:val="00F35AB2"/>
    <w:rsid w:val="00F400FB"/>
    <w:rsid w:val="00F41DB0"/>
    <w:rsid w:val="00F43631"/>
    <w:rsid w:val="00F43947"/>
    <w:rsid w:val="00F439BB"/>
    <w:rsid w:val="00F43CEB"/>
    <w:rsid w:val="00F449D7"/>
    <w:rsid w:val="00F460C4"/>
    <w:rsid w:val="00F461AE"/>
    <w:rsid w:val="00F467F9"/>
    <w:rsid w:val="00F47426"/>
    <w:rsid w:val="00F50D6C"/>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A48"/>
    <w:rsid w:val="00F82021"/>
    <w:rsid w:val="00F82080"/>
    <w:rsid w:val="00F82A7B"/>
    <w:rsid w:val="00F8476C"/>
    <w:rsid w:val="00F850A1"/>
    <w:rsid w:val="00F85CBD"/>
    <w:rsid w:val="00F87810"/>
    <w:rsid w:val="00F905B8"/>
    <w:rsid w:val="00F91164"/>
    <w:rsid w:val="00F91292"/>
    <w:rsid w:val="00F91D47"/>
    <w:rsid w:val="00F92B0F"/>
    <w:rsid w:val="00F9354E"/>
    <w:rsid w:val="00F941FC"/>
    <w:rsid w:val="00F96D24"/>
    <w:rsid w:val="00F97093"/>
    <w:rsid w:val="00F97FF3"/>
    <w:rsid w:val="00FA0091"/>
    <w:rsid w:val="00FA1AA9"/>
    <w:rsid w:val="00FA2C8B"/>
    <w:rsid w:val="00FA3E0C"/>
    <w:rsid w:val="00FA4DBA"/>
    <w:rsid w:val="00FA4FBA"/>
    <w:rsid w:val="00FA5580"/>
    <w:rsid w:val="00FA655A"/>
    <w:rsid w:val="00FA69C3"/>
    <w:rsid w:val="00FA6AAC"/>
    <w:rsid w:val="00FA6CBC"/>
    <w:rsid w:val="00FA6D48"/>
    <w:rsid w:val="00FA7027"/>
    <w:rsid w:val="00FA7775"/>
    <w:rsid w:val="00FA7EC0"/>
    <w:rsid w:val="00FB1729"/>
    <w:rsid w:val="00FB30A2"/>
    <w:rsid w:val="00FB4993"/>
    <w:rsid w:val="00FC072E"/>
    <w:rsid w:val="00FC1364"/>
    <w:rsid w:val="00FC4323"/>
    <w:rsid w:val="00FC51AE"/>
    <w:rsid w:val="00FC550A"/>
    <w:rsid w:val="00FC551E"/>
    <w:rsid w:val="00FC5790"/>
    <w:rsid w:val="00FC6275"/>
    <w:rsid w:val="00FD039F"/>
    <w:rsid w:val="00FD053B"/>
    <w:rsid w:val="00FD0910"/>
    <w:rsid w:val="00FD0A92"/>
    <w:rsid w:val="00FD0AF0"/>
    <w:rsid w:val="00FD1234"/>
    <w:rsid w:val="00FD18F3"/>
    <w:rsid w:val="00FD194F"/>
    <w:rsid w:val="00FD1995"/>
    <w:rsid w:val="00FD2333"/>
    <w:rsid w:val="00FD25E1"/>
    <w:rsid w:val="00FD4A75"/>
    <w:rsid w:val="00FD54E6"/>
    <w:rsid w:val="00FD5688"/>
    <w:rsid w:val="00FD5725"/>
    <w:rsid w:val="00FD5E1C"/>
    <w:rsid w:val="00FD5F36"/>
    <w:rsid w:val="00FD6624"/>
    <w:rsid w:val="00FD7F6B"/>
    <w:rsid w:val="00FE0948"/>
    <w:rsid w:val="00FE1880"/>
    <w:rsid w:val="00FE3256"/>
    <w:rsid w:val="00FE3F8E"/>
    <w:rsid w:val="00FE445D"/>
    <w:rsid w:val="00FE47ED"/>
    <w:rsid w:val="00FE5101"/>
    <w:rsid w:val="00FE61DC"/>
    <w:rsid w:val="00FE67D0"/>
    <w:rsid w:val="00FE689B"/>
    <w:rsid w:val="00FE7081"/>
    <w:rsid w:val="00FE79CE"/>
    <w:rsid w:val="00FF06FA"/>
    <w:rsid w:val="00FF081E"/>
    <w:rsid w:val="00FF145C"/>
    <w:rsid w:val="00FF26EE"/>
    <w:rsid w:val="00FF28EC"/>
    <w:rsid w:val="00FF47A3"/>
    <w:rsid w:val="00FF4B3F"/>
    <w:rsid w:val="00FF4B43"/>
    <w:rsid w:val="00FF574F"/>
    <w:rsid w:val="011E42FB"/>
    <w:rsid w:val="012146C6"/>
    <w:rsid w:val="01593BD4"/>
    <w:rsid w:val="05821997"/>
    <w:rsid w:val="060B222F"/>
    <w:rsid w:val="08435AFA"/>
    <w:rsid w:val="090C7C1B"/>
    <w:rsid w:val="0C4C5587"/>
    <w:rsid w:val="0CBF4A36"/>
    <w:rsid w:val="0DB91C99"/>
    <w:rsid w:val="0DC608A2"/>
    <w:rsid w:val="0E6E6F80"/>
    <w:rsid w:val="0FF94323"/>
    <w:rsid w:val="108D4A90"/>
    <w:rsid w:val="13193497"/>
    <w:rsid w:val="13E355AE"/>
    <w:rsid w:val="161A1EE6"/>
    <w:rsid w:val="198E1224"/>
    <w:rsid w:val="19B260C7"/>
    <w:rsid w:val="1A063C17"/>
    <w:rsid w:val="1B325F2A"/>
    <w:rsid w:val="1F3D7A6A"/>
    <w:rsid w:val="1FF36232"/>
    <w:rsid w:val="208F2688"/>
    <w:rsid w:val="217A6D96"/>
    <w:rsid w:val="219A1B7F"/>
    <w:rsid w:val="23AA6A32"/>
    <w:rsid w:val="25F11338"/>
    <w:rsid w:val="274005AB"/>
    <w:rsid w:val="2828735F"/>
    <w:rsid w:val="287D1162"/>
    <w:rsid w:val="2B033371"/>
    <w:rsid w:val="2C240F34"/>
    <w:rsid w:val="2C64115C"/>
    <w:rsid w:val="2CEB7E37"/>
    <w:rsid w:val="2D0B54A3"/>
    <w:rsid w:val="2D230138"/>
    <w:rsid w:val="300801AF"/>
    <w:rsid w:val="3063463F"/>
    <w:rsid w:val="309E7E5F"/>
    <w:rsid w:val="324B16F5"/>
    <w:rsid w:val="33B67A9F"/>
    <w:rsid w:val="34E60A39"/>
    <w:rsid w:val="38355A24"/>
    <w:rsid w:val="3922318F"/>
    <w:rsid w:val="39CB0A4E"/>
    <w:rsid w:val="3B2B70DC"/>
    <w:rsid w:val="3CDF3135"/>
    <w:rsid w:val="3FB269C3"/>
    <w:rsid w:val="400840AC"/>
    <w:rsid w:val="410061AC"/>
    <w:rsid w:val="41571D6E"/>
    <w:rsid w:val="42697AFE"/>
    <w:rsid w:val="45403A10"/>
    <w:rsid w:val="48100201"/>
    <w:rsid w:val="48D43EA7"/>
    <w:rsid w:val="49314F9E"/>
    <w:rsid w:val="4CE24E85"/>
    <w:rsid w:val="4FEC07C0"/>
    <w:rsid w:val="50775E26"/>
    <w:rsid w:val="5124633C"/>
    <w:rsid w:val="51554B0E"/>
    <w:rsid w:val="51C35E5F"/>
    <w:rsid w:val="52343ACD"/>
    <w:rsid w:val="52C609BD"/>
    <w:rsid w:val="53B57275"/>
    <w:rsid w:val="53F564C6"/>
    <w:rsid w:val="5404684F"/>
    <w:rsid w:val="58236A15"/>
    <w:rsid w:val="58321EC6"/>
    <w:rsid w:val="586757C9"/>
    <w:rsid w:val="595B08B8"/>
    <w:rsid w:val="59664FDF"/>
    <w:rsid w:val="5B1B1FBA"/>
    <w:rsid w:val="5D652999"/>
    <w:rsid w:val="5E643D94"/>
    <w:rsid w:val="5EC95B4E"/>
    <w:rsid w:val="5EEC4F2C"/>
    <w:rsid w:val="5F542636"/>
    <w:rsid w:val="603C7A3F"/>
    <w:rsid w:val="6083357C"/>
    <w:rsid w:val="666B09B5"/>
    <w:rsid w:val="66885224"/>
    <w:rsid w:val="66CE52DB"/>
    <w:rsid w:val="68D357B0"/>
    <w:rsid w:val="69D4537F"/>
    <w:rsid w:val="728B1D53"/>
    <w:rsid w:val="768A6ABA"/>
    <w:rsid w:val="76D10E3F"/>
    <w:rsid w:val="77901832"/>
    <w:rsid w:val="786B73C0"/>
    <w:rsid w:val="7B3B003F"/>
    <w:rsid w:val="7DB23C95"/>
    <w:rsid w:val="7EBA0B4D"/>
    <w:rsid w:val="7F1B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7"/>
    <w:qFormat/>
    <w:uiPriority w:val="0"/>
    <w:pPr>
      <w:spacing w:before="340" w:after="330" w:line="360" w:lineRule="auto"/>
      <w:jc w:val="center"/>
      <w:outlineLvl w:val="0"/>
    </w:pPr>
    <w:rPr>
      <w:rFonts w:eastAsia="黑体"/>
      <w:kern w:val="44"/>
      <w:szCs w:val="44"/>
    </w:rPr>
  </w:style>
  <w:style w:type="paragraph" w:styleId="5">
    <w:name w:val="heading 2"/>
    <w:basedOn w:val="1"/>
    <w:next w:val="1"/>
    <w:link w:val="72"/>
    <w:qFormat/>
    <w:uiPriority w:val="0"/>
    <w:pPr>
      <w:adjustRightInd w:val="0"/>
      <w:jc w:val="center"/>
      <w:textAlignment w:val="baseline"/>
      <w:outlineLvl w:val="1"/>
    </w:pPr>
    <w:rPr>
      <w:kern w:val="0"/>
      <w:sz w:val="24"/>
      <w:szCs w:val="20"/>
    </w:rPr>
  </w:style>
  <w:style w:type="paragraph" w:styleId="4">
    <w:name w:val="heading 3"/>
    <w:basedOn w:val="1"/>
    <w:next w:val="1"/>
    <w:link w:val="56"/>
    <w:qFormat/>
    <w:uiPriority w:val="9"/>
    <w:pPr>
      <w:spacing w:before="260" w:after="260" w:line="240" w:lineRule="auto"/>
      <w:outlineLvl w:val="2"/>
    </w:pPr>
    <w:rPr>
      <w:rFonts w:ascii="宋体" w:hAnsi="宋体" w:eastAsia="宋体"/>
      <w:szCs w:val="32"/>
    </w:rPr>
  </w:style>
  <w:style w:type="paragraph" w:styleId="6">
    <w:name w:val="heading 4"/>
    <w:basedOn w:val="1"/>
    <w:next w:val="1"/>
    <w:link w:val="54"/>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81"/>
    <w:qFormat/>
    <w:uiPriority w:val="0"/>
    <w:pPr>
      <w:keepNext/>
      <w:keepLines/>
      <w:spacing w:before="280" w:after="290" w:line="376" w:lineRule="auto"/>
      <w:outlineLvl w:val="4"/>
    </w:pPr>
    <w:rPr>
      <w:b/>
      <w:sz w:val="28"/>
      <w:szCs w:val="20"/>
    </w:rPr>
  </w:style>
  <w:style w:type="paragraph" w:styleId="9">
    <w:name w:val="heading 6"/>
    <w:basedOn w:val="1"/>
    <w:next w:val="8"/>
    <w:link w:val="84"/>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link w:val="85"/>
    <w:qFormat/>
    <w:uiPriority w:val="0"/>
    <w:pPr>
      <w:keepNext/>
      <w:keepLines/>
      <w:spacing w:before="240" w:after="64" w:line="320" w:lineRule="auto"/>
      <w:outlineLvl w:val="6"/>
    </w:pPr>
    <w:rPr>
      <w:b/>
      <w:sz w:val="24"/>
      <w:szCs w:val="20"/>
    </w:rPr>
  </w:style>
  <w:style w:type="paragraph" w:styleId="11">
    <w:name w:val="heading 8"/>
    <w:basedOn w:val="1"/>
    <w:next w:val="8"/>
    <w:link w:val="86"/>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link w:val="87"/>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3"/>
    <w:qFormat/>
    <w:uiPriority w:val="0"/>
    <w:pPr>
      <w:spacing w:line="360" w:lineRule="auto"/>
    </w:pPr>
    <w:rPr>
      <w:b/>
      <w:bCs/>
      <w:sz w:val="24"/>
    </w:rPr>
  </w:style>
  <w:style w:type="paragraph" w:styleId="8">
    <w:name w:val="Normal Indent"/>
    <w:basedOn w:val="1"/>
    <w:link w:val="58"/>
    <w:qFormat/>
    <w:uiPriority w:val="0"/>
    <w:pPr>
      <w:ind w:firstLine="420"/>
    </w:pPr>
    <w:rPr>
      <w:szCs w:val="20"/>
    </w:rPr>
  </w:style>
  <w:style w:type="paragraph" w:styleId="13">
    <w:name w:val="toc 7"/>
    <w:basedOn w:val="1"/>
    <w:next w:val="1"/>
    <w:semiHidden/>
    <w:qFormat/>
    <w:uiPriority w:val="0"/>
    <w:pPr>
      <w:ind w:left="1260"/>
      <w:jc w:val="left"/>
    </w:pPr>
    <w:rPr>
      <w:szCs w:val="21"/>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numPr>
        <w:ilvl w:val="0"/>
        <w:numId w:val="1"/>
      </w:numPr>
    </w:pPr>
    <w:rPr>
      <w:szCs w:val="20"/>
    </w:rPr>
  </w:style>
  <w:style w:type="paragraph" w:styleId="16">
    <w:name w:val="Document Map"/>
    <w:basedOn w:val="1"/>
    <w:semiHidden/>
    <w:qFormat/>
    <w:uiPriority w:val="0"/>
    <w:pPr>
      <w:shd w:val="clear" w:color="auto" w:fill="000080"/>
    </w:pPr>
  </w:style>
  <w:style w:type="paragraph" w:styleId="17">
    <w:name w:val="annotation text"/>
    <w:basedOn w:val="1"/>
    <w:link w:val="185"/>
    <w:semiHidden/>
    <w:qFormat/>
    <w:uiPriority w:val="99"/>
    <w:pPr>
      <w:autoSpaceDE w:val="0"/>
      <w:autoSpaceDN w:val="0"/>
      <w:adjustRightInd w:val="0"/>
      <w:jc w:val="left"/>
      <w:textAlignment w:val="baseline"/>
    </w:pPr>
    <w:rPr>
      <w:rFonts w:ascii="宋体"/>
      <w:kern w:val="0"/>
      <w:sz w:val="34"/>
      <w:szCs w:val="20"/>
    </w:rPr>
  </w:style>
  <w:style w:type="paragraph" w:styleId="18">
    <w:name w:val="Body Text 3"/>
    <w:basedOn w:val="1"/>
    <w:link w:val="99"/>
    <w:qFormat/>
    <w:uiPriority w:val="0"/>
    <w:pPr>
      <w:spacing w:after="120"/>
    </w:pPr>
    <w:rPr>
      <w:sz w:val="16"/>
      <w:szCs w:val="16"/>
    </w:rPr>
  </w:style>
  <w:style w:type="paragraph" w:styleId="19">
    <w:name w:val="Body Text Indent"/>
    <w:basedOn w:val="1"/>
    <w:link w:val="80"/>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91"/>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9"/>
    <w:qFormat/>
    <w:uiPriority w:val="0"/>
    <w:rPr>
      <w:rFonts w:ascii="宋体" w:hAnsi="Courier New"/>
      <w:sz w:val="32"/>
      <w:szCs w:val="20"/>
    </w:rPr>
  </w:style>
  <w:style w:type="paragraph" w:styleId="25">
    <w:name w:val="Body Text Indent 2"/>
    <w:basedOn w:val="1"/>
    <w:link w:val="94"/>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100"/>
    <w:semiHidden/>
    <w:qFormat/>
    <w:uiPriority w:val="99"/>
    <w:rPr>
      <w:sz w:val="18"/>
      <w:szCs w:val="18"/>
    </w:rPr>
  </w:style>
  <w:style w:type="paragraph" w:styleId="27">
    <w:name w:val="footer"/>
    <w:basedOn w:val="1"/>
    <w:link w:val="98"/>
    <w:qFormat/>
    <w:uiPriority w:val="0"/>
    <w:pPr>
      <w:tabs>
        <w:tab w:val="center" w:pos="4153"/>
        <w:tab w:val="right" w:pos="8306"/>
      </w:tabs>
      <w:snapToGrid w:val="0"/>
      <w:jc w:val="left"/>
    </w:pPr>
    <w:rPr>
      <w:sz w:val="18"/>
      <w:szCs w:val="18"/>
    </w:rPr>
  </w:style>
  <w:style w:type="paragraph" w:styleId="28">
    <w:name w:val="header"/>
    <w:basedOn w:val="1"/>
    <w:link w:val="95"/>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Subtitle"/>
    <w:next w:val="1"/>
    <w:link w:val="310"/>
    <w:qFormat/>
    <w:uiPriority w:val="0"/>
    <w:pPr>
      <w:wordWrap w:val="0"/>
      <w:spacing w:after="60"/>
      <w:jc w:val="center"/>
    </w:pPr>
    <w:rPr>
      <w:rFonts w:ascii="Calibri" w:hAnsi="Calibri" w:eastAsia="宋体" w:cs="Times New Roman"/>
      <w:sz w:val="24"/>
      <w:lang w:val="en-US" w:eastAsia="zh-CN" w:bidi="ar-SA"/>
    </w:rPr>
  </w:style>
  <w:style w:type="paragraph" w:styleId="32">
    <w:name w:val="toc 6"/>
    <w:basedOn w:val="1"/>
    <w:next w:val="1"/>
    <w:semiHidden/>
    <w:qFormat/>
    <w:uiPriority w:val="0"/>
    <w:pPr>
      <w:ind w:left="1050"/>
      <w:jc w:val="left"/>
    </w:pPr>
    <w:rPr>
      <w:szCs w:val="21"/>
    </w:rPr>
  </w:style>
  <w:style w:type="paragraph" w:styleId="33">
    <w:name w:val="Body Text Indent 3"/>
    <w:basedOn w:val="1"/>
    <w:link w:val="96"/>
    <w:qFormat/>
    <w:uiPriority w:val="0"/>
    <w:pPr>
      <w:spacing w:line="360" w:lineRule="auto"/>
      <w:ind w:firstLine="482" w:firstLineChars="200"/>
    </w:pPr>
    <w:rPr>
      <w:rFonts w:ascii="宋体"/>
      <w:b/>
      <w:bCs/>
      <w:sz w:val="24"/>
    </w:rPr>
  </w:style>
  <w:style w:type="paragraph" w:styleId="34">
    <w:name w:val="toc 2"/>
    <w:basedOn w:val="1"/>
    <w:next w:val="1"/>
    <w:semiHidden/>
    <w:qFormat/>
    <w:uiPriority w:val="0"/>
    <w:pPr>
      <w:tabs>
        <w:tab w:val="right" w:leader="dot" w:pos="8296"/>
      </w:tabs>
      <w:ind w:left="210"/>
      <w:jc w:val="left"/>
    </w:pPr>
    <w:rPr>
      <w:smallCaps/>
    </w:rPr>
  </w:style>
  <w:style w:type="paragraph" w:styleId="35">
    <w:name w:val="toc 9"/>
    <w:basedOn w:val="1"/>
    <w:next w:val="1"/>
    <w:semiHidden/>
    <w:qFormat/>
    <w:uiPriority w:val="0"/>
    <w:pPr>
      <w:ind w:left="1680"/>
      <w:jc w:val="left"/>
    </w:pPr>
    <w:rPr>
      <w:szCs w:val="21"/>
    </w:rPr>
  </w:style>
  <w:style w:type="paragraph" w:styleId="36">
    <w:name w:val="Body Text 2"/>
    <w:basedOn w:val="1"/>
    <w:link w:val="97"/>
    <w:qFormat/>
    <w:uiPriority w:val="0"/>
    <w:pPr>
      <w:spacing w:line="360" w:lineRule="auto"/>
    </w:pPr>
    <w:rPr>
      <w:sz w:val="24"/>
    </w:rPr>
  </w:style>
  <w:style w:type="paragraph" w:styleId="37">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99"/>
    <w:pPr>
      <w:spacing w:beforeAutospacing="1" w:afterAutospacing="1"/>
      <w:jc w:val="left"/>
    </w:pPr>
    <w:rPr>
      <w:kern w:val="0"/>
      <w:sz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88"/>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7"/>
    <w:next w:val="17"/>
    <w:link w:val="186"/>
    <w:qFormat/>
    <w:uiPriority w:val="99"/>
    <w:pPr>
      <w:autoSpaceDE/>
      <w:autoSpaceDN/>
      <w:adjustRightInd/>
      <w:textAlignment w:val="auto"/>
    </w:pPr>
    <w:rPr>
      <w:rFonts w:ascii="Times New Roman"/>
      <w:b/>
      <w:bCs/>
      <w:kern w:val="2"/>
      <w:sz w:val="21"/>
      <w:szCs w:val="24"/>
    </w:rPr>
  </w:style>
  <w:style w:type="paragraph" w:styleId="42">
    <w:name w:val="Body Text First Indent"/>
    <w:basedOn w:val="2"/>
    <w:link w:val="131"/>
    <w:qFormat/>
    <w:uiPriority w:val="0"/>
    <w:pPr>
      <w:spacing w:after="120" w:line="240" w:lineRule="auto"/>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Elegant"/>
    <w:basedOn w:val="43"/>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basedOn w:val="46"/>
    <w:qFormat/>
    <w:uiPriority w:val="0"/>
    <w:rPr>
      <w:sz w:val="20"/>
    </w:rPr>
  </w:style>
  <w:style w:type="character" w:styleId="51">
    <w:name w:val="Hyperlink"/>
    <w:qFormat/>
    <w:uiPriority w:val="0"/>
    <w:rPr>
      <w:color w:val="0000FF"/>
      <w:u w:val="single"/>
    </w:rPr>
  </w:style>
  <w:style w:type="character" w:styleId="52">
    <w:name w:val="annotation reference"/>
    <w:basedOn w:val="46"/>
    <w:qFormat/>
    <w:uiPriority w:val="99"/>
    <w:rPr>
      <w:sz w:val="21"/>
      <w:szCs w:val="21"/>
    </w:rPr>
  </w:style>
  <w:style w:type="paragraph" w:customStyle="1" w:styleId="53">
    <w:name w:val="Quote"/>
    <w:next w:val="1"/>
    <w:link w:val="439"/>
    <w:qFormat/>
    <w:uiPriority w:val="0"/>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54">
    <w:name w:val="标题 4 字符"/>
    <w:link w:val="6"/>
    <w:qFormat/>
    <w:uiPriority w:val="9"/>
    <w:rPr>
      <w:rFonts w:ascii="Arial" w:hAnsi="Arial" w:eastAsia="黑体"/>
      <w:b/>
      <w:bCs/>
      <w:kern w:val="2"/>
      <w:sz w:val="28"/>
      <w:szCs w:val="28"/>
      <w:lang w:val="en-US" w:eastAsia="zh-CN" w:bidi="ar-SA"/>
    </w:rPr>
  </w:style>
  <w:style w:type="paragraph" w:customStyle="1" w:styleId="5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6">
    <w:name w:val="标题 3 字符"/>
    <w:link w:val="4"/>
    <w:qFormat/>
    <w:uiPriority w:val="9"/>
    <w:rPr>
      <w:rFonts w:ascii="宋体" w:hAnsi="宋体" w:eastAsia="宋体"/>
      <w:b/>
      <w:bCs/>
      <w:kern w:val="2"/>
      <w:sz w:val="28"/>
      <w:szCs w:val="32"/>
      <w:lang w:val="en-US" w:eastAsia="zh-CN" w:bidi="ar-SA"/>
    </w:rPr>
  </w:style>
  <w:style w:type="character" w:customStyle="1" w:styleId="57">
    <w:name w:val="标题 1 字符"/>
    <w:link w:val="3"/>
    <w:qFormat/>
    <w:uiPriority w:val="0"/>
    <w:rPr>
      <w:rFonts w:ascii="宋体" w:hAnsi="宋体" w:eastAsia="黑体"/>
      <w:b/>
      <w:bCs/>
      <w:kern w:val="44"/>
      <w:sz w:val="28"/>
      <w:szCs w:val="44"/>
      <w:lang w:val="en-US" w:eastAsia="zh-CN" w:bidi="ar-SA"/>
    </w:rPr>
  </w:style>
  <w:style w:type="character" w:customStyle="1" w:styleId="58">
    <w:name w:val="正文缩进 字符"/>
    <w:link w:val="8"/>
    <w:qFormat/>
    <w:uiPriority w:val="0"/>
    <w:rPr>
      <w:rFonts w:eastAsia="宋体"/>
      <w:kern w:val="2"/>
      <w:sz w:val="21"/>
      <w:lang w:val="en-US" w:eastAsia="zh-CN" w:bidi="ar-SA"/>
    </w:rPr>
  </w:style>
  <w:style w:type="character" w:customStyle="1" w:styleId="59">
    <w:name w:val="标题 3 Char"/>
    <w:qFormat/>
    <w:uiPriority w:val="0"/>
    <w:rPr>
      <w:rFonts w:ascii="黑体" w:eastAsia="黑体"/>
      <w:bCs/>
      <w:sz w:val="30"/>
    </w:rPr>
  </w:style>
  <w:style w:type="paragraph" w:customStyle="1" w:styleId="60">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61">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2">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7">
    <w:name w:val="自定义正文"/>
    <w:basedOn w:val="1"/>
    <w:qFormat/>
    <w:uiPriority w:val="0"/>
    <w:pPr>
      <w:spacing w:afterLines="50"/>
      <w:ind w:left="600" w:leftChars="600"/>
    </w:pPr>
  </w:style>
  <w:style w:type="paragraph" w:customStyle="1" w:styleId="68">
    <w:name w:val="Char Char Char Char Char"/>
    <w:basedOn w:val="1"/>
    <w:qFormat/>
    <w:uiPriority w:val="0"/>
    <w:rPr>
      <w:rFonts w:ascii="Tahoma" w:hAnsi="Tahoma"/>
      <w:sz w:val="24"/>
      <w:szCs w:val="20"/>
    </w:rPr>
  </w:style>
  <w:style w:type="paragraph" w:customStyle="1" w:styleId="6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70">
    <w:name w:val="Char Char"/>
    <w:basedOn w:val="1"/>
    <w:qFormat/>
    <w:uiPriority w:val="0"/>
    <w:rPr>
      <w:rFonts w:ascii="Tahoma" w:hAnsi="Tahoma"/>
      <w:sz w:val="24"/>
      <w:szCs w:val="20"/>
    </w:rPr>
  </w:style>
  <w:style w:type="paragraph" w:customStyle="1" w:styleId="71">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2">
    <w:name w:val="标题 2 字符"/>
    <w:link w:val="5"/>
    <w:qFormat/>
    <w:uiPriority w:val="0"/>
    <w:rPr>
      <w:rFonts w:ascii="宋体" w:hAnsi="宋体" w:eastAsia="宋体"/>
      <w:b/>
      <w:bCs/>
      <w:sz w:val="24"/>
      <w:lang w:val="en-US" w:eastAsia="zh-CN" w:bidi="ar-SA"/>
    </w:rPr>
  </w:style>
  <w:style w:type="paragraph" w:customStyle="1" w:styleId="7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List Paragraph"/>
    <w:basedOn w:val="1"/>
    <w:qFormat/>
    <w:uiPriority w:val="0"/>
    <w:pPr>
      <w:ind w:firstLine="420" w:firstLineChars="200"/>
    </w:pPr>
    <w:rPr>
      <w:rFonts w:ascii="Calibri" w:hAnsi="Calibri"/>
      <w:szCs w:val="22"/>
    </w:rPr>
  </w:style>
  <w:style w:type="paragraph" w:customStyle="1" w:styleId="75">
    <w:name w:val="USE 1"/>
    <w:basedOn w:val="1"/>
    <w:qFormat/>
    <w:uiPriority w:val="0"/>
    <w:pPr>
      <w:spacing w:line="200" w:lineRule="atLeast"/>
      <w:jc w:val="left"/>
    </w:pPr>
    <w:rPr>
      <w:rFonts w:ascii="宋体" w:hAnsi="宋体"/>
      <w:b/>
      <w:sz w:val="24"/>
      <w:szCs w:val="28"/>
    </w:rPr>
  </w:style>
  <w:style w:type="paragraph" w:customStyle="1" w:styleId="76">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7">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8">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9">
    <w:name w:val="H4 Char2"/>
    <w:qFormat/>
    <w:uiPriority w:val="0"/>
    <w:rPr>
      <w:rFonts w:ascii="Arial" w:hAnsi="Arial" w:eastAsia="黑体"/>
      <w:b/>
      <w:bCs/>
      <w:kern w:val="2"/>
      <w:sz w:val="28"/>
      <w:szCs w:val="28"/>
      <w:lang w:val="en-US" w:eastAsia="zh-CN" w:bidi="ar-SA"/>
    </w:rPr>
  </w:style>
  <w:style w:type="character" w:customStyle="1" w:styleId="80">
    <w:name w:val="正文文本缩进 字符"/>
    <w:link w:val="19"/>
    <w:qFormat/>
    <w:uiPriority w:val="0"/>
    <w:rPr>
      <w:rFonts w:eastAsia="宋体"/>
      <w:kern w:val="2"/>
      <w:sz w:val="21"/>
      <w:szCs w:val="24"/>
      <w:lang w:val="en-US" w:eastAsia="zh-CN" w:bidi="ar-SA"/>
    </w:rPr>
  </w:style>
  <w:style w:type="character" w:customStyle="1" w:styleId="81">
    <w:name w:val="标题 5 字符"/>
    <w:link w:val="7"/>
    <w:qFormat/>
    <w:uiPriority w:val="0"/>
    <w:rPr>
      <w:rFonts w:eastAsia="宋体"/>
      <w:b/>
      <w:kern w:val="2"/>
      <w:sz w:val="28"/>
      <w:lang w:val="en-US" w:eastAsia="zh-CN" w:bidi="ar-SA"/>
    </w:rPr>
  </w:style>
  <w:style w:type="character" w:customStyle="1" w:styleId="82">
    <w:name w:val="第*章 Char"/>
    <w:qFormat/>
    <w:uiPriority w:val="0"/>
    <w:rPr>
      <w:rFonts w:ascii="Arial" w:hAnsi="Arial" w:eastAsia="黑体"/>
      <w:b/>
      <w:bCs/>
      <w:kern w:val="2"/>
      <w:sz w:val="32"/>
      <w:szCs w:val="32"/>
    </w:rPr>
  </w:style>
  <w:style w:type="character" w:customStyle="1" w:styleId="83">
    <w:name w:val="章标题1 Char"/>
    <w:qFormat/>
    <w:uiPriority w:val="0"/>
    <w:rPr>
      <w:rFonts w:eastAsia="宋体"/>
      <w:b/>
      <w:bCs/>
      <w:kern w:val="2"/>
      <w:sz w:val="32"/>
      <w:szCs w:val="32"/>
      <w:lang w:val="en-US" w:eastAsia="zh-CN" w:bidi="ar-SA"/>
    </w:rPr>
  </w:style>
  <w:style w:type="character" w:customStyle="1" w:styleId="84">
    <w:name w:val="标题 6 字符"/>
    <w:link w:val="9"/>
    <w:qFormat/>
    <w:uiPriority w:val="0"/>
    <w:rPr>
      <w:rFonts w:ascii="Arial" w:hAnsi="Arial" w:eastAsia="黑体"/>
      <w:b/>
      <w:kern w:val="2"/>
      <w:sz w:val="24"/>
      <w:lang w:val="en-US" w:eastAsia="zh-CN" w:bidi="ar-SA"/>
    </w:rPr>
  </w:style>
  <w:style w:type="character" w:customStyle="1" w:styleId="85">
    <w:name w:val="标题 7 字符"/>
    <w:link w:val="10"/>
    <w:qFormat/>
    <w:uiPriority w:val="0"/>
    <w:rPr>
      <w:rFonts w:eastAsia="宋体"/>
      <w:b/>
      <w:kern w:val="2"/>
      <w:sz w:val="24"/>
      <w:lang w:val="en-US" w:eastAsia="zh-CN" w:bidi="ar-SA"/>
    </w:rPr>
  </w:style>
  <w:style w:type="character" w:customStyle="1" w:styleId="86">
    <w:name w:val="标题 8 字符"/>
    <w:link w:val="11"/>
    <w:qFormat/>
    <w:uiPriority w:val="0"/>
    <w:rPr>
      <w:rFonts w:ascii="Arial" w:hAnsi="Arial" w:eastAsia="黑体"/>
      <w:kern w:val="2"/>
      <w:sz w:val="24"/>
      <w:lang w:val="en-US" w:eastAsia="zh-CN" w:bidi="ar-SA"/>
    </w:rPr>
  </w:style>
  <w:style w:type="character" w:customStyle="1" w:styleId="87">
    <w:name w:val="标题 9 字符"/>
    <w:link w:val="12"/>
    <w:qFormat/>
    <w:uiPriority w:val="0"/>
    <w:rPr>
      <w:rFonts w:ascii="Arial" w:hAnsi="Arial" w:eastAsia="黑体"/>
      <w:kern w:val="2"/>
      <w:sz w:val="21"/>
      <w:lang w:val="en-US" w:eastAsia="zh-CN" w:bidi="ar-SA"/>
    </w:rPr>
  </w:style>
  <w:style w:type="character" w:customStyle="1" w:styleId="88">
    <w:name w:val="标题 字符"/>
    <w:link w:val="40"/>
    <w:qFormat/>
    <w:uiPriority w:val="0"/>
    <w:rPr>
      <w:rFonts w:ascii="Arial" w:hAnsi="Arial" w:eastAsia="隶书" w:cs="Arial"/>
      <w:b/>
      <w:bCs/>
      <w:kern w:val="2"/>
      <w:sz w:val="32"/>
      <w:szCs w:val="32"/>
      <w:lang w:val="en-US" w:eastAsia="zh-CN" w:bidi="ar-SA"/>
    </w:rPr>
  </w:style>
  <w:style w:type="character" w:customStyle="1" w:styleId="89">
    <w:name w:val="日期 字符"/>
    <w:link w:val="24"/>
    <w:qFormat/>
    <w:uiPriority w:val="0"/>
    <w:rPr>
      <w:rFonts w:ascii="宋体" w:hAnsi="Courier New" w:eastAsia="宋体"/>
      <w:kern w:val="2"/>
      <w:sz w:val="32"/>
      <w:lang w:val="en-US" w:eastAsia="zh-CN" w:bidi="ar-SA"/>
    </w:rPr>
  </w:style>
  <w:style w:type="character" w:customStyle="1" w:styleId="90">
    <w:name w:val="HTML 预设格式 字符"/>
    <w:link w:val="37"/>
    <w:qFormat/>
    <w:uiPriority w:val="0"/>
    <w:rPr>
      <w:rFonts w:ascii="Arial Unicode MS" w:hAnsi="Arial Unicode MS" w:eastAsia="Arial Unicode MS"/>
      <w:color w:val="000000"/>
      <w:lang w:val="en-US" w:eastAsia="zh-CN" w:bidi="ar-SA"/>
    </w:rPr>
  </w:style>
  <w:style w:type="character" w:customStyle="1" w:styleId="91">
    <w:name w:val="纯文本 字符"/>
    <w:link w:val="22"/>
    <w:qFormat/>
    <w:uiPriority w:val="0"/>
    <w:rPr>
      <w:rFonts w:ascii="宋体" w:hAnsi="Courier New" w:eastAsia="宋体"/>
      <w:kern w:val="2"/>
      <w:sz w:val="21"/>
      <w:lang w:val="en-US" w:eastAsia="zh-CN" w:bidi="ar-SA"/>
    </w:rPr>
  </w:style>
  <w:style w:type="character" w:customStyle="1" w:styleId="92">
    <w:name w:val="正文文字首行缩进 Char"/>
    <w:qFormat/>
    <w:uiPriority w:val="0"/>
    <w:rPr>
      <w:kern w:val="2"/>
      <w:sz w:val="21"/>
      <w:szCs w:val="24"/>
    </w:rPr>
  </w:style>
  <w:style w:type="character" w:customStyle="1" w:styleId="93">
    <w:name w:val="正文文本 字符"/>
    <w:link w:val="2"/>
    <w:qFormat/>
    <w:uiPriority w:val="0"/>
    <w:rPr>
      <w:rFonts w:eastAsia="宋体"/>
      <w:b/>
      <w:bCs/>
      <w:kern w:val="2"/>
      <w:sz w:val="24"/>
      <w:szCs w:val="24"/>
      <w:lang w:val="en-US" w:eastAsia="zh-CN" w:bidi="ar-SA"/>
    </w:rPr>
  </w:style>
  <w:style w:type="character" w:customStyle="1" w:styleId="94">
    <w:name w:val="正文文本缩进 2 字符"/>
    <w:link w:val="25"/>
    <w:qFormat/>
    <w:uiPriority w:val="0"/>
    <w:rPr>
      <w:rFonts w:ascii="宋体" w:hAnsi="宋体" w:eastAsia="宋体"/>
      <w:kern w:val="2"/>
      <w:sz w:val="21"/>
      <w:szCs w:val="24"/>
      <w:lang w:val="en-US" w:eastAsia="zh-CN" w:bidi="ar-SA"/>
    </w:rPr>
  </w:style>
  <w:style w:type="character" w:customStyle="1" w:styleId="95">
    <w:name w:val="页眉 字符"/>
    <w:link w:val="28"/>
    <w:qFormat/>
    <w:uiPriority w:val="99"/>
    <w:rPr>
      <w:rFonts w:eastAsia="宋体"/>
      <w:kern w:val="2"/>
      <w:sz w:val="18"/>
      <w:szCs w:val="18"/>
      <w:lang w:val="en-US" w:eastAsia="zh-CN" w:bidi="ar-SA"/>
    </w:rPr>
  </w:style>
  <w:style w:type="character" w:customStyle="1" w:styleId="96">
    <w:name w:val="正文文本缩进 3 字符"/>
    <w:link w:val="33"/>
    <w:qFormat/>
    <w:uiPriority w:val="0"/>
    <w:rPr>
      <w:rFonts w:ascii="宋体" w:eastAsia="宋体"/>
      <w:b/>
      <w:bCs/>
      <w:kern w:val="2"/>
      <w:sz w:val="24"/>
      <w:szCs w:val="24"/>
      <w:lang w:val="en-US" w:eastAsia="zh-CN" w:bidi="ar-SA"/>
    </w:rPr>
  </w:style>
  <w:style w:type="character" w:customStyle="1" w:styleId="97">
    <w:name w:val="正文文本 2 字符"/>
    <w:link w:val="36"/>
    <w:qFormat/>
    <w:uiPriority w:val="0"/>
    <w:rPr>
      <w:rFonts w:eastAsia="宋体"/>
      <w:kern w:val="2"/>
      <w:sz w:val="24"/>
      <w:szCs w:val="24"/>
      <w:lang w:val="en-US" w:eastAsia="zh-CN" w:bidi="ar-SA"/>
    </w:rPr>
  </w:style>
  <w:style w:type="character" w:customStyle="1" w:styleId="98">
    <w:name w:val="页脚 字符"/>
    <w:link w:val="27"/>
    <w:qFormat/>
    <w:uiPriority w:val="0"/>
    <w:rPr>
      <w:rFonts w:eastAsia="宋体"/>
      <w:kern w:val="2"/>
      <w:sz w:val="18"/>
      <w:szCs w:val="18"/>
      <w:lang w:val="en-US" w:eastAsia="zh-CN" w:bidi="ar-SA"/>
    </w:rPr>
  </w:style>
  <w:style w:type="character" w:customStyle="1" w:styleId="99">
    <w:name w:val="正文文本 3 字符"/>
    <w:link w:val="18"/>
    <w:qFormat/>
    <w:uiPriority w:val="0"/>
    <w:rPr>
      <w:rFonts w:eastAsia="宋体"/>
      <w:kern w:val="2"/>
      <w:sz w:val="16"/>
      <w:szCs w:val="16"/>
      <w:lang w:val="en-US" w:eastAsia="zh-CN" w:bidi="ar-SA"/>
    </w:rPr>
  </w:style>
  <w:style w:type="character" w:customStyle="1" w:styleId="100">
    <w:name w:val="批注框文本 字符"/>
    <w:link w:val="26"/>
    <w:semiHidden/>
    <w:qFormat/>
    <w:uiPriority w:val="99"/>
    <w:rPr>
      <w:rFonts w:eastAsia="宋体"/>
      <w:kern w:val="2"/>
      <w:sz w:val="18"/>
      <w:szCs w:val="18"/>
      <w:lang w:val="en-US" w:eastAsia="zh-CN" w:bidi="ar-SA"/>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character" w:customStyle="1" w:styleId="103">
    <w:name w:val="标题 3 Char Char"/>
    <w:qFormat/>
    <w:uiPriority w:val="0"/>
    <w:rPr>
      <w:rFonts w:eastAsia="宋体"/>
      <w:b/>
      <w:bCs/>
      <w:kern w:val="2"/>
      <w:sz w:val="32"/>
      <w:szCs w:val="32"/>
      <w:lang w:val="en-US" w:eastAsia="zh-CN" w:bidi="ar-SA"/>
    </w:rPr>
  </w:style>
  <w:style w:type="paragraph" w:customStyle="1" w:styleId="104">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5">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6">
    <w:name w:val="--规划正文"/>
    <w:basedOn w:val="1"/>
    <w:qFormat/>
    <w:uiPriority w:val="0"/>
    <w:pPr>
      <w:spacing w:line="360" w:lineRule="auto"/>
      <w:ind w:firstLine="200" w:firstLineChars="200"/>
    </w:pPr>
    <w:rPr>
      <w:szCs w:val="20"/>
    </w:rPr>
  </w:style>
  <w:style w:type="paragraph" w:customStyle="1" w:styleId="107">
    <w:name w:val="设计依据"/>
    <w:basedOn w:val="2"/>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8">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9">
    <w:name w:val="样式4"/>
    <w:basedOn w:val="1"/>
    <w:qFormat/>
    <w:uiPriority w:val="0"/>
    <w:pPr>
      <w:tabs>
        <w:tab w:val="left" w:pos="842"/>
      </w:tabs>
      <w:spacing w:line="360" w:lineRule="auto"/>
      <w:ind w:left="842" w:hanging="420"/>
    </w:pPr>
    <w:rPr>
      <w:sz w:val="24"/>
    </w:rPr>
  </w:style>
  <w:style w:type="paragraph" w:customStyle="1" w:styleId="110">
    <w:name w:val="文字"/>
    <w:basedOn w:val="1"/>
    <w:qFormat/>
    <w:uiPriority w:val="0"/>
    <w:pPr>
      <w:tabs>
        <w:tab w:val="left" w:pos="8520"/>
      </w:tabs>
      <w:spacing w:line="312" w:lineRule="auto"/>
      <w:ind w:right="-210" w:firstLine="556"/>
    </w:pPr>
    <w:rPr>
      <w:rFonts w:ascii="宋体"/>
      <w:sz w:val="28"/>
      <w:szCs w:val="20"/>
    </w:rPr>
  </w:style>
  <w:style w:type="paragraph" w:customStyle="1" w:styleId="111">
    <w:name w:val="--规划-表格-居左"/>
    <w:basedOn w:val="106"/>
    <w:qFormat/>
    <w:uiPriority w:val="0"/>
    <w:pPr>
      <w:spacing w:line="240" w:lineRule="auto"/>
      <w:ind w:firstLine="0" w:firstLineChars="0"/>
    </w:pPr>
    <w:rPr>
      <w:sz w:val="20"/>
    </w:rPr>
  </w:style>
  <w:style w:type="paragraph" w:customStyle="1" w:styleId="112">
    <w:name w:val="--规划-表格-居中"/>
    <w:basedOn w:val="106"/>
    <w:qFormat/>
    <w:uiPriority w:val="0"/>
    <w:pPr>
      <w:spacing w:line="240" w:lineRule="auto"/>
      <w:ind w:firstLine="0" w:firstLineChars="0"/>
      <w:jc w:val="center"/>
    </w:pPr>
    <w:rPr>
      <w:sz w:val="20"/>
    </w:rPr>
  </w:style>
  <w:style w:type="paragraph" w:customStyle="1" w:styleId="113">
    <w:name w:val="--编号内缩进"/>
    <w:basedOn w:val="1"/>
    <w:qFormat/>
    <w:uiPriority w:val="0"/>
    <w:pPr>
      <w:spacing w:line="360" w:lineRule="auto"/>
      <w:ind w:left="420" w:firstLine="200" w:firstLineChars="200"/>
    </w:pPr>
    <w:rPr>
      <w:szCs w:val="21"/>
    </w:rPr>
  </w:style>
  <w:style w:type="paragraph" w:customStyle="1" w:styleId="114">
    <w:name w:val="--规划-题注"/>
    <w:basedOn w:val="1"/>
    <w:next w:val="106"/>
    <w:qFormat/>
    <w:uiPriority w:val="0"/>
    <w:pPr>
      <w:spacing w:line="360" w:lineRule="auto"/>
      <w:jc w:val="center"/>
    </w:pPr>
    <w:rPr>
      <w:rFonts w:eastAsia="黑体"/>
    </w:rPr>
  </w:style>
  <w:style w:type="paragraph" w:customStyle="1" w:styleId="115">
    <w:name w:val="--规划-图和表"/>
    <w:next w:val="106"/>
    <w:qFormat/>
    <w:uiPriority w:val="0"/>
    <w:pPr>
      <w:jc w:val="center"/>
    </w:pPr>
    <w:rPr>
      <w:rFonts w:ascii="Times New Roman" w:hAnsi="Times New Roman" w:eastAsia="宋体" w:cs="Times New Roman"/>
      <w:kern w:val="2"/>
      <w:sz w:val="21"/>
      <w:lang w:val="en-US" w:eastAsia="zh-CN" w:bidi="ar-SA"/>
    </w:rPr>
  </w:style>
  <w:style w:type="paragraph" w:customStyle="1" w:styleId="116">
    <w:name w:val="--规划-小标题"/>
    <w:basedOn w:val="1"/>
    <w:next w:val="106"/>
    <w:qFormat/>
    <w:uiPriority w:val="0"/>
    <w:pPr>
      <w:keepNext/>
      <w:keepLines/>
      <w:spacing w:line="360" w:lineRule="auto"/>
      <w:outlineLvl w:val="4"/>
    </w:pPr>
    <w:rPr>
      <w:rFonts w:eastAsia="黑体"/>
    </w:rPr>
  </w:style>
  <w:style w:type="paragraph" w:customStyle="1" w:styleId="117">
    <w:name w:val="--规划正文 Char"/>
    <w:basedOn w:val="1"/>
    <w:qFormat/>
    <w:uiPriority w:val="0"/>
    <w:pPr>
      <w:spacing w:line="360" w:lineRule="auto"/>
      <w:ind w:firstLine="200" w:firstLineChars="200"/>
    </w:pPr>
    <w:rPr>
      <w:sz w:val="24"/>
    </w:rPr>
  </w:style>
  <w:style w:type="paragraph" w:customStyle="1" w:styleId="118">
    <w:name w:val="缺省文本"/>
    <w:basedOn w:val="1"/>
    <w:qFormat/>
    <w:uiPriority w:val="0"/>
    <w:pPr>
      <w:autoSpaceDE w:val="0"/>
      <w:autoSpaceDN w:val="0"/>
      <w:adjustRightInd w:val="0"/>
      <w:jc w:val="left"/>
    </w:pPr>
    <w:rPr>
      <w:kern w:val="0"/>
    </w:rPr>
  </w:style>
  <w:style w:type="paragraph" w:customStyle="1" w:styleId="119">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20">
    <w:name w:val="--规划正文 Char Char"/>
    <w:qFormat/>
    <w:uiPriority w:val="0"/>
    <w:rPr>
      <w:rFonts w:eastAsia="宋体"/>
      <w:kern w:val="2"/>
      <w:sz w:val="24"/>
      <w:szCs w:val="24"/>
      <w:lang w:val="en-US" w:eastAsia="zh-CN" w:bidi="ar-SA"/>
    </w:rPr>
  </w:style>
  <w:style w:type="paragraph" w:customStyle="1" w:styleId="121">
    <w:name w:val="样式3"/>
    <w:basedOn w:val="3"/>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2">
    <w:name w:val="--规划正文 Char1"/>
    <w:qFormat/>
    <w:uiPriority w:val="0"/>
    <w:rPr>
      <w:rFonts w:eastAsia="宋体"/>
      <w:kern w:val="2"/>
      <w:sz w:val="21"/>
      <w:lang w:val="en-US" w:eastAsia="zh-CN" w:bidi="ar-SA"/>
    </w:rPr>
  </w:style>
  <w:style w:type="paragraph" w:customStyle="1" w:styleId="123">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4">
    <w:name w:val="列表项目"/>
    <w:basedOn w:val="1"/>
    <w:qFormat/>
    <w:uiPriority w:val="0"/>
    <w:pPr>
      <w:tabs>
        <w:tab w:val="left" w:pos="420"/>
        <w:tab w:val="left" w:pos="1080"/>
      </w:tabs>
      <w:spacing w:line="288" w:lineRule="auto"/>
      <w:ind w:left="1080" w:hanging="360"/>
    </w:pPr>
    <w:rPr>
      <w:sz w:val="24"/>
      <w:szCs w:val="20"/>
    </w:rPr>
  </w:style>
  <w:style w:type="character" w:customStyle="1" w:styleId="125">
    <w:name w:val="content1"/>
    <w:qFormat/>
    <w:uiPriority w:val="0"/>
    <w:rPr>
      <w:rFonts w:hint="default" w:ascii="??" w:hAnsi="??"/>
      <w:sz w:val="16"/>
      <w:szCs w:val="16"/>
      <w:u w:val="none"/>
    </w:rPr>
  </w:style>
  <w:style w:type="character" w:customStyle="1" w:styleId="126">
    <w:name w:val="unnamed4"/>
    <w:basedOn w:val="46"/>
    <w:qFormat/>
    <w:uiPriority w:val="0"/>
  </w:style>
  <w:style w:type="character" w:customStyle="1" w:styleId="127">
    <w:name w:val="font2"/>
    <w:basedOn w:val="46"/>
    <w:qFormat/>
    <w:uiPriority w:val="0"/>
  </w:style>
  <w:style w:type="character" w:customStyle="1" w:styleId="128">
    <w:name w:val="font41"/>
    <w:qFormat/>
    <w:uiPriority w:val="0"/>
    <w:rPr>
      <w:color w:val="000000"/>
      <w:spacing w:val="260"/>
      <w:sz w:val="18"/>
      <w:szCs w:val="18"/>
      <w:u w:val="none"/>
    </w:rPr>
  </w:style>
  <w:style w:type="paragraph" w:customStyle="1" w:styleId="12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30">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31">
    <w:name w:val="正文文本首行缩进 字符"/>
    <w:link w:val="42"/>
    <w:qFormat/>
    <w:uiPriority w:val="0"/>
    <w:rPr>
      <w:rFonts w:eastAsia="宋体"/>
      <w:b/>
      <w:bCs/>
      <w:kern w:val="2"/>
      <w:sz w:val="21"/>
      <w:szCs w:val="24"/>
      <w:lang w:val="en-US" w:eastAsia="zh-CN" w:bidi="ar-SA"/>
    </w:rPr>
  </w:style>
  <w:style w:type="paragraph" w:customStyle="1" w:styleId="13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3">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4">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5">
    <w:name w:val="mode"/>
    <w:basedOn w:val="46"/>
    <w:qFormat/>
    <w:uiPriority w:val="0"/>
  </w:style>
  <w:style w:type="paragraph" w:customStyle="1" w:styleId="136">
    <w:name w:val="9"/>
    <w:basedOn w:val="1"/>
    <w:next w:val="8"/>
    <w:qFormat/>
    <w:uiPriority w:val="0"/>
    <w:pPr>
      <w:autoSpaceDE w:val="0"/>
      <w:autoSpaceDN w:val="0"/>
      <w:adjustRightInd w:val="0"/>
      <w:ind w:firstLine="420"/>
      <w:jc w:val="left"/>
      <w:textAlignment w:val="baseline"/>
    </w:pPr>
    <w:rPr>
      <w:rFonts w:ascii="宋体"/>
      <w:kern w:val="0"/>
      <w:sz w:val="34"/>
      <w:szCs w:val="20"/>
    </w:rPr>
  </w:style>
  <w:style w:type="character" w:customStyle="1" w:styleId="137">
    <w:name w:val="unnamed3"/>
    <w:basedOn w:val="46"/>
    <w:qFormat/>
    <w:uiPriority w:val="0"/>
  </w:style>
  <w:style w:type="paragraph" w:customStyle="1" w:styleId="138">
    <w:name w:val="8"/>
    <w:basedOn w:val="1"/>
    <w:next w:val="19"/>
    <w:qFormat/>
    <w:uiPriority w:val="0"/>
    <w:pPr>
      <w:spacing w:after="120"/>
      <w:ind w:left="420" w:leftChars="200"/>
    </w:pPr>
  </w:style>
  <w:style w:type="paragraph" w:customStyle="1" w:styleId="139">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40">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41">
    <w:name w:val="5"/>
    <w:basedOn w:val="1"/>
    <w:qFormat/>
    <w:uiPriority w:val="0"/>
    <w:pPr>
      <w:autoSpaceDE w:val="0"/>
      <w:autoSpaceDN w:val="0"/>
      <w:adjustRightInd w:val="0"/>
      <w:jc w:val="left"/>
    </w:pPr>
    <w:rPr>
      <w:rFonts w:ascii="宋体"/>
      <w:b/>
      <w:bCs/>
      <w:kern w:val="0"/>
      <w:sz w:val="18"/>
      <w:szCs w:val="18"/>
    </w:rPr>
  </w:style>
  <w:style w:type="paragraph" w:customStyle="1" w:styleId="142">
    <w:name w:val="6"/>
    <w:basedOn w:val="141"/>
    <w:qFormat/>
    <w:uiPriority w:val="0"/>
    <w:pPr>
      <w:spacing w:line="270" w:lineRule="atLeast"/>
      <w:jc w:val="both"/>
    </w:pPr>
    <w:rPr>
      <w:b w:val="0"/>
      <w:bCs w:val="0"/>
    </w:rPr>
  </w:style>
  <w:style w:type="paragraph" w:customStyle="1" w:styleId="14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4">
    <w:name w:val="姜文清定义的正文"/>
    <w:basedOn w:val="1"/>
    <w:qFormat/>
    <w:uiPriority w:val="0"/>
    <w:pPr>
      <w:spacing w:line="240" w:lineRule="atLeast"/>
      <w:ind w:firstLine="567"/>
    </w:pPr>
    <w:rPr>
      <w:szCs w:val="20"/>
    </w:rPr>
  </w:style>
  <w:style w:type="paragraph" w:customStyle="1" w:styleId="14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6">
    <w:name w:val="CM2"/>
    <w:basedOn w:val="145"/>
    <w:next w:val="145"/>
    <w:qFormat/>
    <w:uiPriority w:val="0"/>
    <w:pPr>
      <w:spacing w:line="200" w:lineRule="atLeast"/>
    </w:pPr>
    <w:rPr>
      <w:rFonts w:ascii="Arial" w:hAnsi="Arial" w:eastAsia="宋体" w:cs="Times New Roman"/>
      <w:color w:val="auto"/>
    </w:rPr>
  </w:style>
  <w:style w:type="paragraph" w:customStyle="1" w:styleId="147">
    <w:name w:val="Normal Paragraph"/>
    <w:basedOn w:val="1"/>
    <w:qFormat/>
    <w:uiPriority w:val="0"/>
    <w:pPr>
      <w:widowControl/>
      <w:spacing w:before="120" w:line="360" w:lineRule="auto"/>
      <w:ind w:firstLine="425"/>
    </w:pPr>
    <w:rPr>
      <w:kern w:val="0"/>
      <w:sz w:val="24"/>
    </w:rPr>
  </w:style>
  <w:style w:type="character" w:customStyle="1" w:styleId="148">
    <w:name w:val="blue"/>
    <w:basedOn w:val="46"/>
    <w:qFormat/>
    <w:uiPriority w:val="0"/>
  </w:style>
  <w:style w:type="paragraph" w:customStyle="1" w:styleId="149">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0">
    <w:name w:val="font"/>
    <w:basedOn w:val="46"/>
    <w:qFormat/>
    <w:uiPriority w:val="0"/>
  </w:style>
  <w:style w:type="character" w:customStyle="1" w:styleId="151">
    <w:name w:val="font11"/>
    <w:qFormat/>
    <w:uiPriority w:val="0"/>
    <w:rPr>
      <w:rFonts w:hint="default" w:ascii="ˎ̥" w:hAnsi="ˎ̥"/>
    </w:rPr>
  </w:style>
  <w:style w:type="paragraph" w:customStyle="1" w:styleId="152">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3">
    <w:name w:val="proddescription"/>
    <w:basedOn w:val="46"/>
    <w:qFormat/>
    <w:uiPriority w:val="0"/>
  </w:style>
  <w:style w:type="character" w:customStyle="1" w:styleId="154">
    <w:name w:val="prodheadlines"/>
    <w:basedOn w:val="46"/>
    <w:qFormat/>
    <w:uiPriority w:val="0"/>
  </w:style>
  <w:style w:type="character" w:customStyle="1" w:styleId="155">
    <w:name w:val="text"/>
    <w:basedOn w:val="46"/>
    <w:qFormat/>
    <w:uiPriority w:val="0"/>
  </w:style>
  <w:style w:type="paragraph" w:customStyle="1" w:styleId="156">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7">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8">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9">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60">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1">
    <w:name w:val="段落正文"/>
    <w:basedOn w:val="22"/>
    <w:qFormat/>
    <w:uiPriority w:val="0"/>
    <w:pPr>
      <w:ind w:firstLine="560" w:firstLineChars="200"/>
    </w:pPr>
    <w:rPr>
      <w:sz w:val="28"/>
    </w:rPr>
  </w:style>
  <w:style w:type="character" w:customStyle="1" w:styleId="162">
    <w:name w:val="gray6"/>
    <w:basedOn w:val="46"/>
    <w:qFormat/>
    <w:uiPriority w:val="0"/>
  </w:style>
  <w:style w:type="character" w:customStyle="1" w:styleId="163">
    <w:name w:val="style9"/>
    <w:basedOn w:val="46"/>
    <w:qFormat/>
    <w:uiPriority w:val="0"/>
  </w:style>
  <w:style w:type="paragraph" w:customStyle="1" w:styleId="164">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5">
    <w:name w:val="grame"/>
    <w:basedOn w:val="46"/>
    <w:qFormat/>
    <w:uiPriority w:val="0"/>
  </w:style>
  <w:style w:type="paragraph" w:customStyle="1" w:styleId="166">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7">
    <w:name w:val="Char1"/>
    <w:basedOn w:val="1"/>
    <w:qFormat/>
    <w:uiPriority w:val="0"/>
    <w:pPr>
      <w:jc w:val="left"/>
    </w:pPr>
    <w:rPr>
      <w:rFonts w:ascii="Tahoma" w:hAnsi="Tahoma"/>
      <w:sz w:val="24"/>
      <w:szCs w:val="20"/>
    </w:rPr>
  </w:style>
  <w:style w:type="paragraph" w:customStyle="1" w:styleId="168">
    <w:name w:val="编号1"/>
    <w:basedOn w:val="1"/>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69">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7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2">
    <w:name w:val="font6"/>
    <w:basedOn w:val="1"/>
    <w:qFormat/>
    <w:uiPriority w:val="0"/>
    <w:pPr>
      <w:widowControl/>
      <w:spacing w:before="100" w:beforeAutospacing="1" w:after="100" w:afterAutospacing="1"/>
      <w:jc w:val="left"/>
    </w:pPr>
    <w:rPr>
      <w:kern w:val="0"/>
      <w:sz w:val="24"/>
    </w:rPr>
  </w:style>
  <w:style w:type="paragraph" w:customStyle="1" w:styleId="17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5">
    <w:name w:val="表格字"/>
    <w:basedOn w:val="1"/>
    <w:qFormat/>
    <w:uiPriority w:val="0"/>
    <w:pPr>
      <w:adjustRightInd w:val="0"/>
      <w:jc w:val="center"/>
    </w:pPr>
    <w:rPr>
      <w:rFonts w:ascii="宋体"/>
      <w:sz w:val="24"/>
      <w:szCs w:val="20"/>
    </w:rPr>
  </w:style>
  <w:style w:type="character" w:customStyle="1" w:styleId="176">
    <w:name w:val="样式 小三 加粗"/>
    <w:qFormat/>
    <w:uiPriority w:val="0"/>
    <w:rPr>
      <w:rFonts w:eastAsia="宋体"/>
      <w:b/>
      <w:bCs/>
      <w:sz w:val="32"/>
    </w:rPr>
  </w:style>
  <w:style w:type="paragraph" w:customStyle="1" w:styleId="17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9">
    <w:name w:val="Char Char Char"/>
    <w:basedOn w:val="1"/>
    <w:qFormat/>
    <w:uiPriority w:val="0"/>
    <w:rPr>
      <w:rFonts w:ascii="Tahoma" w:hAnsi="Tahoma"/>
      <w:sz w:val="24"/>
      <w:szCs w:val="20"/>
    </w:rPr>
  </w:style>
  <w:style w:type="paragraph" w:customStyle="1" w:styleId="18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1">
    <w:name w:val="info4"/>
    <w:basedOn w:val="46"/>
    <w:qFormat/>
    <w:uiPriority w:val="0"/>
  </w:style>
  <w:style w:type="paragraph" w:customStyle="1" w:styleId="182">
    <w:name w:val="缩进正文"/>
    <w:basedOn w:val="1"/>
    <w:link w:val="183"/>
    <w:qFormat/>
    <w:uiPriority w:val="0"/>
    <w:pPr>
      <w:ind w:firstLine="560" w:firstLineChars="200"/>
    </w:pPr>
    <w:rPr>
      <w:rFonts w:eastAsia="仿宋_GB2312" w:cs="宋体"/>
      <w:sz w:val="28"/>
      <w:szCs w:val="20"/>
    </w:rPr>
  </w:style>
  <w:style w:type="character" w:customStyle="1" w:styleId="183">
    <w:name w:val="缩进正文 Char"/>
    <w:link w:val="182"/>
    <w:qFormat/>
    <w:uiPriority w:val="0"/>
    <w:rPr>
      <w:rFonts w:eastAsia="仿宋_GB2312" w:cs="宋体"/>
      <w:kern w:val="2"/>
      <w:sz w:val="28"/>
      <w:lang w:val="en-US" w:eastAsia="zh-CN" w:bidi="ar-SA"/>
    </w:rPr>
  </w:style>
  <w:style w:type="paragraph" w:customStyle="1" w:styleId="184">
    <w:name w:val="列出段落1"/>
    <w:basedOn w:val="1"/>
    <w:qFormat/>
    <w:uiPriority w:val="0"/>
    <w:pPr>
      <w:ind w:firstLine="420" w:firstLineChars="200"/>
    </w:pPr>
    <w:rPr>
      <w:rFonts w:ascii="Calibri" w:hAnsi="Calibri" w:cs="Calibri"/>
      <w:szCs w:val="21"/>
    </w:rPr>
  </w:style>
  <w:style w:type="character" w:customStyle="1" w:styleId="185">
    <w:name w:val="批注文字 字符"/>
    <w:basedOn w:val="46"/>
    <w:link w:val="17"/>
    <w:semiHidden/>
    <w:qFormat/>
    <w:uiPriority w:val="99"/>
    <w:rPr>
      <w:rFonts w:ascii="宋体"/>
      <w:sz w:val="34"/>
    </w:rPr>
  </w:style>
  <w:style w:type="character" w:customStyle="1" w:styleId="186">
    <w:name w:val="批注主题 字符"/>
    <w:basedOn w:val="185"/>
    <w:link w:val="41"/>
    <w:qFormat/>
    <w:uiPriority w:val="99"/>
    <w:rPr>
      <w:rFonts w:ascii="宋体"/>
      <w:sz w:val="34"/>
    </w:rPr>
  </w:style>
  <w:style w:type="paragraph" w:customStyle="1" w:styleId="187">
    <w:name w:val="评价"/>
    <w:basedOn w:val="1"/>
    <w:qFormat/>
    <w:uiPriority w:val="0"/>
    <w:pPr>
      <w:spacing w:afterLines="20"/>
      <w:ind w:firstLine="1446" w:firstLineChars="200"/>
    </w:pPr>
    <w:rPr>
      <w:rFonts w:ascii="Calibri" w:hAnsi="Calibri"/>
      <w:sz w:val="24"/>
    </w:rPr>
  </w:style>
  <w:style w:type="paragraph" w:customStyle="1" w:styleId="18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9">
    <w:name w:val="alt-edited1"/>
    <w:qFormat/>
    <w:uiPriority w:val="0"/>
    <w:rPr>
      <w:color w:val="4D90F0"/>
    </w:rPr>
  </w:style>
  <w:style w:type="paragraph" w:customStyle="1" w:styleId="190">
    <w:name w:val="toc 14"/>
    <w:next w:val="1"/>
    <w:qFormat/>
    <w:uiPriority w:val="0"/>
    <w:pPr>
      <w:wordWrap w:val="0"/>
      <w:jc w:val="both"/>
    </w:pPr>
    <w:rPr>
      <w:rFonts w:ascii="Calibri" w:hAnsi="Calibri" w:eastAsia="宋体" w:cs="Times New Roman"/>
      <w:sz w:val="21"/>
      <w:lang w:val="en-US" w:eastAsia="zh-CN" w:bidi="ar-SA"/>
    </w:rPr>
  </w:style>
  <w:style w:type="character" w:customStyle="1" w:styleId="191">
    <w:name w:val="文档结构图 Char1"/>
    <w:semiHidden/>
    <w:qFormat/>
    <w:uiPriority w:val="0"/>
    <w:rPr>
      <w:sz w:val="20"/>
    </w:rPr>
  </w:style>
  <w:style w:type="character" w:customStyle="1" w:styleId="192">
    <w:name w:val="文档结构图 Char"/>
    <w:semiHidden/>
    <w:qFormat/>
    <w:uiPriority w:val="0"/>
    <w:rPr>
      <w:sz w:val="20"/>
    </w:rPr>
  </w:style>
  <w:style w:type="character" w:customStyle="1" w:styleId="193">
    <w:name w:val="short_text"/>
    <w:basedOn w:val="46"/>
    <w:qFormat/>
    <w:uiPriority w:val="0"/>
    <w:rPr>
      <w:sz w:val="20"/>
    </w:rPr>
  </w:style>
  <w:style w:type="character" w:customStyle="1" w:styleId="194">
    <w:name w:val="标题 Char1"/>
    <w:qFormat/>
    <w:uiPriority w:val="0"/>
    <w:rPr>
      <w:b/>
      <w:sz w:val="20"/>
    </w:rPr>
  </w:style>
  <w:style w:type="character" w:customStyle="1" w:styleId="195">
    <w:name w:val="正文文本缩进 3 Char1"/>
    <w:semiHidden/>
    <w:qFormat/>
    <w:uiPriority w:val="0"/>
    <w:rPr>
      <w:sz w:val="20"/>
    </w:rPr>
  </w:style>
  <w:style w:type="character" w:customStyle="1" w:styleId="196">
    <w:name w:val="font21"/>
    <w:qFormat/>
    <w:uiPriority w:val="0"/>
    <w:rPr>
      <w:color w:val="FF0000"/>
      <w:sz w:val="20"/>
      <w:u w:val="none"/>
    </w:rPr>
  </w:style>
  <w:style w:type="character" w:customStyle="1" w:styleId="197">
    <w:name w:val="不明显强调1"/>
    <w:qFormat/>
    <w:uiPriority w:val="0"/>
    <w:rPr>
      <w:i/>
      <w:sz w:val="20"/>
    </w:rPr>
  </w:style>
  <w:style w:type="character" w:customStyle="1" w:styleId="198">
    <w:name w:val="font71"/>
    <w:qFormat/>
    <w:uiPriority w:val="0"/>
    <w:rPr>
      <w:sz w:val="20"/>
      <w:u w:val="none"/>
    </w:rPr>
  </w:style>
  <w:style w:type="character" w:customStyle="1" w:styleId="199">
    <w:name w:val="页眉 Char1"/>
    <w:semiHidden/>
    <w:qFormat/>
    <w:uiPriority w:val="0"/>
    <w:rPr>
      <w:sz w:val="20"/>
    </w:rPr>
  </w:style>
  <w:style w:type="character" w:customStyle="1" w:styleId="200">
    <w:name w:val="正文文本缩进 2 Char1"/>
    <w:semiHidden/>
    <w:qFormat/>
    <w:uiPriority w:val="0"/>
    <w:rPr>
      <w:sz w:val="20"/>
    </w:rPr>
  </w:style>
  <w:style w:type="character" w:customStyle="1" w:styleId="201">
    <w:name w:val="font61"/>
    <w:qFormat/>
    <w:uiPriority w:val="0"/>
    <w:rPr>
      <w:sz w:val="20"/>
      <w:u w:val="none"/>
    </w:rPr>
  </w:style>
  <w:style w:type="character" w:customStyle="1" w:styleId="202">
    <w:name w:val="纯文本 Char1"/>
    <w:semiHidden/>
    <w:qFormat/>
    <w:uiPriority w:val="0"/>
    <w:rPr>
      <w:sz w:val="20"/>
    </w:rPr>
  </w:style>
  <w:style w:type="character" w:customStyle="1" w:styleId="203">
    <w:name w:val="正文文本 3 Char1"/>
    <w:semiHidden/>
    <w:qFormat/>
    <w:uiPriority w:val="0"/>
    <w:rPr>
      <w:sz w:val="20"/>
    </w:rPr>
  </w:style>
  <w:style w:type="character" w:customStyle="1" w:styleId="204">
    <w:name w:val="正文文本缩进 Char1"/>
    <w:semiHidden/>
    <w:qFormat/>
    <w:uiPriority w:val="0"/>
    <w:rPr>
      <w:sz w:val="20"/>
    </w:rPr>
  </w:style>
  <w:style w:type="character" w:customStyle="1" w:styleId="205">
    <w:name w:val="明显参考1"/>
    <w:qFormat/>
    <w:uiPriority w:val="0"/>
    <w:rPr>
      <w:b/>
      <w:sz w:val="20"/>
    </w:rPr>
  </w:style>
  <w:style w:type="character" w:customStyle="1" w:styleId="206">
    <w:name w:val="apple-converted-space"/>
    <w:qFormat/>
    <w:uiPriority w:val="0"/>
    <w:rPr>
      <w:sz w:val="20"/>
    </w:rPr>
  </w:style>
  <w:style w:type="character" w:customStyle="1" w:styleId="207">
    <w:name w:val="书籍标题1"/>
    <w:qFormat/>
    <w:uiPriority w:val="0"/>
    <w:rPr>
      <w:b/>
      <w:i/>
      <w:sz w:val="20"/>
    </w:rPr>
  </w:style>
  <w:style w:type="character" w:customStyle="1" w:styleId="208">
    <w:name w:val="long_text"/>
    <w:qFormat/>
    <w:uiPriority w:val="0"/>
    <w:rPr>
      <w:sz w:val="20"/>
    </w:rPr>
  </w:style>
  <w:style w:type="character" w:customStyle="1" w:styleId="209">
    <w:name w:val="日期 Char1"/>
    <w:semiHidden/>
    <w:qFormat/>
    <w:uiPriority w:val="0"/>
    <w:rPr>
      <w:sz w:val="20"/>
    </w:rPr>
  </w:style>
  <w:style w:type="character" w:customStyle="1" w:styleId="210">
    <w:name w:val="批注文字 Char1"/>
    <w:semiHidden/>
    <w:qFormat/>
    <w:uiPriority w:val="0"/>
    <w:rPr>
      <w:sz w:val="20"/>
    </w:rPr>
  </w:style>
  <w:style w:type="character" w:customStyle="1" w:styleId="211">
    <w:name w:val="明显强调1"/>
    <w:qFormat/>
    <w:uiPriority w:val="0"/>
    <w:rPr>
      <w:i/>
      <w:sz w:val="20"/>
    </w:rPr>
  </w:style>
  <w:style w:type="character" w:customStyle="1" w:styleId="212">
    <w:name w:val="16"/>
    <w:qFormat/>
    <w:uiPriority w:val="0"/>
    <w:rPr>
      <w:b/>
      <w:color w:val="FF0356"/>
      <w:sz w:val="20"/>
    </w:rPr>
  </w:style>
  <w:style w:type="character" w:customStyle="1" w:styleId="213">
    <w:name w:val="批注主题 Char1"/>
    <w:semiHidden/>
    <w:qFormat/>
    <w:uiPriority w:val="0"/>
    <w:rPr>
      <w:b/>
      <w:sz w:val="20"/>
    </w:rPr>
  </w:style>
  <w:style w:type="character" w:customStyle="1" w:styleId="214">
    <w:name w:val="正文文本 2 Char1"/>
    <w:semiHidden/>
    <w:qFormat/>
    <w:uiPriority w:val="0"/>
    <w:rPr>
      <w:sz w:val="20"/>
    </w:rPr>
  </w:style>
  <w:style w:type="character" w:customStyle="1" w:styleId="215">
    <w:name w:val="font31"/>
    <w:qFormat/>
    <w:uiPriority w:val="0"/>
    <w:rPr>
      <w:color w:val="FF0000"/>
      <w:sz w:val="20"/>
      <w:u w:val="none"/>
      <w:vertAlign w:val="superscript"/>
    </w:rPr>
  </w:style>
  <w:style w:type="character" w:customStyle="1" w:styleId="216">
    <w:name w:val="不明显参考1"/>
    <w:qFormat/>
    <w:uiPriority w:val="0"/>
    <w:rPr>
      <w:sz w:val="20"/>
    </w:rPr>
  </w:style>
  <w:style w:type="character" w:customStyle="1" w:styleId="217">
    <w:name w:val="HTML 预设格式 Char1"/>
    <w:semiHidden/>
    <w:qFormat/>
    <w:uiPriority w:val="0"/>
    <w:rPr>
      <w:sz w:val="20"/>
    </w:rPr>
  </w:style>
  <w:style w:type="character" w:customStyle="1" w:styleId="218">
    <w:name w:val="font01"/>
    <w:basedOn w:val="46"/>
    <w:qFormat/>
    <w:uiPriority w:val="0"/>
    <w:rPr>
      <w:color w:val="FF0000"/>
      <w:sz w:val="20"/>
      <w:u w:val="none"/>
      <w:vertAlign w:val="superscript"/>
    </w:rPr>
  </w:style>
  <w:style w:type="character" w:customStyle="1" w:styleId="219">
    <w:name w:val="页脚 Char1"/>
    <w:semiHidden/>
    <w:qFormat/>
    <w:uiPriority w:val="0"/>
    <w:rPr>
      <w:sz w:val="20"/>
    </w:rPr>
  </w:style>
  <w:style w:type="character" w:customStyle="1" w:styleId="220">
    <w:name w:val="批注框文本 Char1"/>
    <w:semiHidden/>
    <w:qFormat/>
    <w:uiPriority w:val="0"/>
    <w:rPr>
      <w:sz w:val="20"/>
    </w:rPr>
  </w:style>
  <w:style w:type="paragraph" w:customStyle="1" w:styleId="221">
    <w:name w:val="列出段落2"/>
    <w:basedOn w:val="1"/>
    <w:next w:val="222"/>
    <w:qFormat/>
    <w:uiPriority w:val="0"/>
    <w:pPr>
      <w:ind w:firstLine="420"/>
    </w:pPr>
    <w:rPr>
      <w:rFonts w:hAnsi="Calibri"/>
      <w:kern w:val="0"/>
      <w:szCs w:val="20"/>
    </w:rPr>
  </w:style>
  <w:style w:type="paragraph" w:customStyle="1" w:styleId="222">
    <w:name w:val="toc 814"/>
    <w:next w:val="1"/>
    <w:qFormat/>
    <w:uiPriority w:val="0"/>
    <w:pPr>
      <w:wordWrap w:val="0"/>
      <w:ind w:left="2975"/>
      <w:jc w:val="both"/>
    </w:pPr>
    <w:rPr>
      <w:rFonts w:ascii="Calibri" w:hAnsi="Calibri" w:eastAsia="宋体" w:cs="Times New Roman"/>
      <w:sz w:val="21"/>
      <w:lang w:val="en-US" w:eastAsia="zh-CN" w:bidi="ar-SA"/>
    </w:rPr>
  </w:style>
  <w:style w:type="paragraph" w:customStyle="1" w:styleId="223">
    <w:name w:val="toc 62"/>
    <w:next w:val="1"/>
    <w:qFormat/>
    <w:uiPriority w:val="0"/>
    <w:pPr>
      <w:wordWrap w:val="0"/>
      <w:ind w:left="2125"/>
      <w:jc w:val="both"/>
    </w:pPr>
    <w:rPr>
      <w:rFonts w:ascii="Calibri" w:hAnsi="Calibri" w:eastAsia="宋体" w:cs="Times New Roman"/>
      <w:sz w:val="21"/>
      <w:lang w:val="en-US" w:eastAsia="zh-CN" w:bidi="ar-SA"/>
    </w:rPr>
  </w:style>
  <w:style w:type="paragraph" w:customStyle="1" w:styleId="224">
    <w:name w:val="toc 414"/>
    <w:next w:val="1"/>
    <w:qFormat/>
    <w:uiPriority w:val="0"/>
    <w:pPr>
      <w:wordWrap w:val="0"/>
      <w:ind w:left="1275"/>
      <w:jc w:val="both"/>
    </w:pPr>
    <w:rPr>
      <w:rFonts w:ascii="Calibri" w:hAnsi="Calibri" w:eastAsia="宋体" w:cs="Times New Roman"/>
      <w:sz w:val="21"/>
      <w:lang w:val="en-US" w:eastAsia="zh-CN" w:bidi="ar-SA"/>
    </w:rPr>
  </w:style>
  <w:style w:type="paragraph" w:customStyle="1" w:styleId="225">
    <w:name w:val="toc 411"/>
    <w:next w:val="1"/>
    <w:qFormat/>
    <w:uiPriority w:val="0"/>
    <w:pPr>
      <w:wordWrap w:val="0"/>
      <w:ind w:left="1275"/>
      <w:jc w:val="both"/>
    </w:pPr>
    <w:rPr>
      <w:rFonts w:ascii="Calibri" w:hAnsi="Calibri" w:eastAsia="宋体" w:cs="Times New Roman"/>
      <w:sz w:val="21"/>
      <w:lang w:val="en-US" w:eastAsia="zh-CN" w:bidi="ar-SA"/>
    </w:rPr>
  </w:style>
  <w:style w:type="paragraph" w:customStyle="1" w:styleId="226">
    <w:name w:val="xl86"/>
    <w:basedOn w:val="1"/>
    <w:next w:val="227"/>
    <w:qFormat/>
    <w:uiPriority w:val="0"/>
    <w:pPr>
      <w:widowControl/>
      <w:shd w:val="clear" w:color="000000" w:fill="FFFFFF"/>
      <w:spacing w:before="280" w:after="280"/>
      <w:jc w:val="center"/>
    </w:pPr>
    <w:rPr>
      <w:rFonts w:ascii="宋体" w:hAnsi="Calibri"/>
      <w:kern w:val="0"/>
      <w:sz w:val="20"/>
      <w:szCs w:val="20"/>
    </w:rPr>
  </w:style>
  <w:style w:type="paragraph" w:customStyle="1" w:styleId="227">
    <w:name w:val="toc 515"/>
    <w:next w:val="1"/>
    <w:qFormat/>
    <w:uiPriority w:val="0"/>
    <w:pPr>
      <w:wordWrap w:val="0"/>
      <w:ind w:left="1700"/>
      <w:jc w:val="both"/>
    </w:pPr>
    <w:rPr>
      <w:rFonts w:ascii="Calibri" w:hAnsi="Calibri" w:eastAsia="宋体" w:cs="Times New Roman"/>
      <w:sz w:val="21"/>
      <w:lang w:val="en-US" w:eastAsia="zh-CN" w:bidi="ar-SA"/>
    </w:rPr>
  </w:style>
  <w:style w:type="paragraph" w:customStyle="1" w:styleId="228">
    <w:name w:val="TOC Heading4"/>
    <w:next w:val="1"/>
    <w:qFormat/>
    <w:uiPriority w:val="0"/>
    <w:pPr>
      <w:wordWrap w:val="0"/>
    </w:pPr>
    <w:rPr>
      <w:rFonts w:ascii="Calibri" w:hAnsi="Calibri" w:eastAsia="宋体" w:cs="Times New Roman"/>
      <w:sz w:val="32"/>
      <w:lang w:val="en-US" w:eastAsia="zh-CN" w:bidi="ar-SA"/>
    </w:rPr>
  </w:style>
  <w:style w:type="paragraph" w:customStyle="1" w:styleId="229">
    <w:name w:val="toc 15"/>
    <w:next w:val="1"/>
    <w:qFormat/>
    <w:uiPriority w:val="0"/>
    <w:pPr>
      <w:wordWrap w:val="0"/>
      <w:jc w:val="both"/>
    </w:pPr>
    <w:rPr>
      <w:rFonts w:ascii="Calibri" w:hAnsi="Calibri" w:eastAsia="宋体" w:cs="Times New Roman"/>
      <w:sz w:val="21"/>
      <w:lang w:val="en-US" w:eastAsia="zh-CN" w:bidi="ar-SA"/>
    </w:rPr>
  </w:style>
  <w:style w:type="paragraph" w:customStyle="1" w:styleId="230">
    <w:name w:val="TOC Heading2"/>
    <w:next w:val="1"/>
    <w:qFormat/>
    <w:uiPriority w:val="0"/>
    <w:pPr>
      <w:wordWrap w:val="0"/>
    </w:pPr>
    <w:rPr>
      <w:rFonts w:ascii="Calibri" w:hAnsi="Calibri" w:eastAsia="宋体" w:cs="Times New Roman"/>
      <w:sz w:val="32"/>
      <w:lang w:val="en-US" w:eastAsia="zh-CN" w:bidi="ar-SA"/>
    </w:rPr>
  </w:style>
  <w:style w:type="paragraph" w:customStyle="1" w:styleId="231">
    <w:name w:val="TOC Heading1"/>
    <w:next w:val="1"/>
    <w:qFormat/>
    <w:uiPriority w:val="0"/>
    <w:pPr>
      <w:wordWrap w:val="0"/>
    </w:pPr>
    <w:rPr>
      <w:rFonts w:ascii="Calibri" w:hAnsi="Calibri" w:eastAsia="宋体" w:cs="Times New Roman"/>
      <w:sz w:val="32"/>
      <w:lang w:val="en-US" w:eastAsia="zh-CN" w:bidi="ar-SA"/>
    </w:rPr>
  </w:style>
  <w:style w:type="paragraph" w:customStyle="1" w:styleId="232">
    <w:name w:val="toc 73"/>
    <w:next w:val="1"/>
    <w:qFormat/>
    <w:uiPriority w:val="0"/>
    <w:pPr>
      <w:wordWrap w:val="0"/>
      <w:ind w:left="2550"/>
      <w:jc w:val="both"/>
    </w:pPr>
    <w:rPr>
      <w:rFonts w:ascii="Calibri" w:hAnsi="Calibri" w:eastAsia="宋体" w:cs="Times New Roman"/>
      <w:sz w:val="21"/>
      <w:lang w:val="en-US" w:eastAsia="zh-CN" w:bidi="ar-SA"/>
    </w:rPr>
  </w:style>
  <w:style w:type="paragraph" w:customStyle="1" w:styleId="233">
    <w:name w:val="font7"/>
    <w:basedOn w:val="1"/>
    <w:next w:val="234"/>
    <w:qFormat/>
    <w:uiPriority w:val="0"/>
    <w:pPr>
      <w:widowControl/>
      <w:spacing w:before="280" w:after="280"/>
    </w:pPr>
    <w:rPr>
      <w:rFonts w:ascii="Arial" w:hAnsi="Calibri"/>
      <w:kern w:val="0"/>
      <w:sz w:val="18"/>
      <w:szCs w:val="20"/>
    </w:rPr>
  </w:style>
  <w:style w:type="paragraph" w:customStyle="1" w:styleId="234">
    <w:name w:val="toc 810"/>
    <w:next w:val="1"/>
    <w:qFormat/>
    <w:uiPriority w:val="0"/>
    <w:pPr>
      <w:wordWrap w:val="0"/>
      <w:ind w:left="2975"/>
      <w:jc w:val="both"/>
    </w:pPr>
    <w:rPr>
      <w:rFonts w:ascii="Calibri" w:hAnsi="Calibri" w:eastAsia="宋体" w:cs="Times New Roman"/>
      <w:sz w:val="21"/>
      <w:lang w:val="en-US" w:eastAsia="zh-CN" w:bidi="ar-SA"/>
    </w:rPr>
  </w:style>
  <w:style w:type="paragraph" w:customStyle="1" w:styleId="235">
    <w:name w:val="xl113"/>
    <w:basedOn w:val="1"/>
    <w:next w:val="236"/>
    <w:qFormat/>
    <w:uiPriority w:val="0"/>
    <w:pPr>
      <w:widowControl/>
      <w:shd w:val="clear" w:color="000000" w:fill="FFFFFF"/>
      <w:spacing w:before="280" w:after="280"/>
      <w:jc w:val="center"/>
    </w:pPr>
    <w:rPr>
      <w:rFonts w:ascii="宋体" w:hAnsi="Calibri"/>
      <w:b/>
      <w:kern w:val="0"/>
      <w:sz w:val="20"/>
      <w:szCs w:val="20"/>
    </w:rPr>
  </w:style>
  <w:style w:type="paragraph" w:customStyle="1" w:styleId="236">
    <w:name w:val="TOC Heading10"/>
    <w:next w:val="1"/>
    <w:qFormat/>
    <w:uiPriority w:val="0"/>
    <w:pPr>
      <w:wordWrap w:val="0"/>
    </w:pPr>
    <w:rPr>
      <w:rFonts w:ascii="Calibri" w:hAnsi="Calibri" w:eastAsia="宋体" w:cs="Times New Roman"/>
      <w:sz w:val="32"/>
      <w:lang w:val="en-US" w:eastAsia="zh-CN" w:bidi="ar-SA"/>
    </w:rPr>
  </w:style>
  <w:style w:type="paragraph" w:customStyle="1" w:styleId="237">
    <w:name w:val="toc 89"/>
    <w:next w:val="1"/>
    <w:qFormat/>
    <w:uiPriority w:val="0"/>
    <w:pPr>
      <w:wordWrap w:val="0"/>
      <w:ind w:left="2975"/>
      <w:jc w:val="both"/>
    </w:pPr>
    <w:rPr>
      <w:rFonts w:ascii="Calibri" w:hAnsi="Calibri" w:eastAsia="宋体" w:cs="Times New Roman"/>
      <w:sz w:val="21"/>
      <w:lang w:val="en-US" w:eastAsia="zh-CN" w:bidi="ar-SA"/>
    </w:rPr>
  </w:style>
  <w:style w:type="paragraph" w:customStyle="1" w:styleId="238">
    <w:name w:val="xl73"/>
    <w:basedOn w:val="1"/>
    <w:next w:val="239"/>
    <w:qFormat/>
    <w:uiPriority w:val="0"/>
    <w:pPr>
      <w:widowControl/>
      <w:shd w:val="clear" w:color="000000" w:fill="FFFFFF"/>
      <w:spacing w:before="280" w:after="280"/>
      <w:jc w:val="center"/>
    </w:pPr>
    <w:rPr>
      <w:rFonts w:ascii="宋体" w:hAnsi="Calibri"/>
      <w:kern w:val="0"/>
      <w:sz w:val="20"/>
      <w:szCs w:val="20"/>
    </w:rPr>
  </w:style>
  <w:style w:type="paragraph" w:customStyle="1" w:styleId="239">
    <w:name w:val="toc 613"/>
    <w:next w:val="1"/>
    <w:qFormat/>
    <w:uiPriority w:val="0"/>
    <w:pPr>
      <w:wordWrap w:val="0"/>
      <w:ind w:left="2125"/>
      <w:jc w:val="both"/>
    </w:pPr>
    <w:rPr>
      <w:rFonts w:ascii="Calibri" w:hAnsi="Calibri" w:eastAsia="宋体" w:cs="Times New Roman"/>
      <w:sz w:val="21"/>
      <w:lang w:val="en-US" w:eastAsia="zh-CN" w:bidi="ar-SA"/>
    </w:rPr>
  </w:style>
  <w:style w:type="paragraph" w:customStyle="1" w:styleId="240">
    <w:name w:val="xl79"/>
    <w:basedOn w:val="1"/>
    <w:next w:val="241"/>
    <w:qFormat/>
    <w:uiPriority w:val="0"/>
    <w:pPr>
      <w:widowControl/>
      <w:shd w:val="clear" w:color="000000" w:fill="FFFFFF"/>
      <w:spacing w:before="280" w:after="280"/>
    </w:pPr>
    <w:rPr>
      <w:rFonts w:ascii="宋体" w:hAnsi="Calibri"/>
      <w:b/>
      <w:kern w:val="0"/>
      <w:sz w:val="20"/>
      <w:szCs w:val="20"/>
    </w:rPr>
  </w:style>
  <w:style w:type="paragraph" w:customStyle="1" w:styleId="241">
    <w:name w:val="toc 87"/>
    <w:next w:val="1"/>
    <w:qFormat/>
    <w:uiPriority w:val="0"/>
    <w:pPr>
      <w:wordWrap w:val="0"/>
      <w:ind w:left="2975"/>
      <w:jc w:val="both"/>
    </w:pPr>
    <w:rPr>
      <w:rFonts w:ascii="Calibri" w:hAnsi="Calibri" w:eastAsia="宋体" w:cs="Times New Roman"/>
      <w:sz w:val="21"/>
      <w:lang w:val="en-US" w:eastAsia="zh-CN" w:bidi="ar-SA"/>
    </w:rPr>
  </w:style>
  <w:style w:type="paragraph" w:customStyle="1" w:styleId="242">
    <w:name w:val="toc 11"/>
    <w:next w:val="1"/>
    <w:qFormat/>
    <w:uiPriority w:val="0"/>
    <w:pPr>
      <w:wordWrap w:val="0"/>
      <w:jc w:val="both"/>
    </w:pPr>
    <w:rPr>
      <w:rFonts w:ascii="Calibri" w:hAnsi="Calibri" w:eastAsia="宋体" w:cs="Times New Roman"/>
      <w:sz w:val="21"/>
      <w:lang w:val="en-US" w:eastAsia="zh-CN" w:bidi="ar-SA"/>
    </w:rPr>
  </w:style>
  <w:style w:type="paragraph" w:customStyle="1" w:styleId="243">
    <w:name w:val="toc 410"/>
    <w:next w:val="1"/>
    <w:qFormat/>
    <w:uiPriority w:val="0"/>
    <w:pPr>
      <w:wordWrap w:val="0"/>
      <w:ind w:left="1275"/>
      <w:jc w:val="both"/>
    </w:pPr>
    <w:rPr>
      <w:rFonts w:ascii="Calibri" w:hAnsi="Calibri" w:eastAsia="宋体" w:cs="Times New Roman"/>
      <w:sz w:val="21"/>
      <w:lang w:val="en-US" w:eastAsia="zh-CN" w:bidi="ar-SA"/>
    </w:rPr>
  </w:style>
  <w:style w:type="paragraph" w:customStyle="1" w:styleId="244">
    <w:name w:val="toc 611"/>
    <w:next w:val="1"/>
    <w:qFormat/>
    <w:uiPriority w:val="0"/>
    <w:pPr>
      <w:wordWrap w:val="0"/>
      <w:ind w:left="2125"/>
      <w:jc w:val="both"/>
    </w:pPr>
    <w:rPr>
      <w:rFonts w:ascii="Calibri" w:hAnsi="Calibri" w:eastAsia="宋体" w:cs="Times New Roman"/>
      <w:sz w:val="21"/>
      <w:lang w:val="en-US" w:eastAsia="zh-CN" w:bidi="ar-SA"/>
    </w:rPr>
  </w:style>
  <w:style w:type="paragraph" w:customStyle="1" w:styleId="245">
    <w:name w:val="xl112"/>
    <w:basedOn w:val="1"/>
    <w:next w:val="244"/>
    <w:qFormat/>
    <w:uiPriority w:val="0"/>
    <w:pPr>
      <w:widowControl/>
      <w:shd w:val="clear" w:color="000000" w:fill="FFFFFF"/>
      <w:spacing w:before="280" w:after="280"/>
      <w:jc w:val="center"/>
    </w:pPr>
    <w:rPr>
      <w:rFonts w:ascii="宋体" w:hAnsi="Calibri"/>
      <w:b/>
      <w:kern w:val="0"/>
      <w:sz w:val="20"/>
      <w:szCs w:val="20"/>
    </w:rPr>
  </w:style>
  <w:style w:type="paragraph" w:customStyle="1" w:styleId="246">
    <w:name w:val="toc 514"/>
    <w:next w:val="1"/>
    <w:qFormat/>
    <w:uiPriority w:val="0"/>
    <w:pPr>
      <w:wordWrap w:val="0"/>
      <w:ind w:left="1700"/>
      <w:jc w:val="both"/>
    </w:pPr>
    <w:rPr>
      <w:rFonts w:ascii="Calibri" w:hAnsi="Calibri" w:eastAsia="宋体" w:cs="Times New Roman"/>
      <w:sz w:val="21"/>
      <w:lang w:val="en-US" w:eastAsia="zh-CN" w:bidi="ar-SA"/>
    </w:rPr>
  </w:style>
  <w:style w:type="paragraph" w:customStyle="1" w:styleId="247">
    <w:name w:val="toc 44"/>
    <w:next w:val="1"/>
    <w:qFormat/>
    <w:uiPriority w:val="0"/>
    <w:pPr>
      <w:wordWrap w:val="0"/>
      <w:ind w:left="1275"/>
      <w:jc w:val="both"/>
    </w:pPr>
    <w:rPr>
      <w:rFonts w:ascii="Calibri" w:hAnsi="Calibri" w:eastAsia="宋体" w:cs="Times New Roman"/>
      <w:sz w:val="21"/>
      <w:lang w:val="en-US" w:eastAsia="zh-CN" w:bidi="ar-SA"/>
    </w:rPr>
  </w:style>
  <w:style w:type="paragraph" w:customStyle="1" w:styleId="248">
    <w:name w:val="toc 412"/>
    <w:next w:val="1"/>
    <w:qFormat/>
    <w:uiPriority w:val="0"/>
    <w:pPr>
      <w:wordWrap w:val="0"/>
      <w:ind w:left="1275"/>
      <w:jc w:val="both"/>
    </w:pPr>
    <w:rPr>
      <w:rFonts w:ascii="Calibri" w:hAnsi="Calibri" w:eastAsia="宋体" w:cs="Times New Roman"/>
      <w:sz w:val="21"/>
      <w:lang w:val="en-US" w:eastAsia="zh-CN" w:bidi="ar-SA"/>
    </w:rPr>
  </w:style>
  <w:style w:type="paragraph" w:customStyle="1" w:styleId="249">
    <w:name w:val="xl74"/>
    <w:basedOn w:val="1"/>
    <w:next w:val="250"/>
    <w:qFormat/>
    <w:uiPriority w:val="0"/>
    <w:pPr>
      <w:widowControl/>
      <w:shd w:val="clear" w:color="000000" w:fill="FFFFFF"/>
      <w:spacing w:before="280" w:after="280"/>
    </w:pPr>
    <w:rPr>
      <w:rFonts w:ascii="宋体" w:hAnsi="Calibri"/>
      <w:kern w:val="0"/>
      <w:sz w:val="20"/>
      <w:szCs w:val="20"/>
    </w:rPr>
  </w:style>
  <w:style w:type="paragraph" w:customStyle="1" w:styleId="250">
    <w:name w:val="toc 57"/>
    <w:next w:val="1"/>
    <w:qFormat/>
    <w:uiPriority w:val="0"/>
    <w:pPr>
      <w:wordWrap w:val="0"/>
      <w:ind w:left="1700"/>
      <w:jc w:val="both"/>
    </w:pPr>
    <w:rPr>
      <w:rFonts w:ascii="Calibri" w:hAnsi="Calibri" w:eastAsia="宋体" w:cs="Times New Roman"/>
      <w:sz w:val="21"/>
      <w:lang w:val="en-US" w:eastAsia="zh-CN" w:bidi="ar-SA"/>
    </w:rPr>
  </w:style>
  <w:style w:type="paragraph" w:customStyle="1" w:styleId="251">
    <w:name w:val="toc 912"/>
    <w:next w:val="1"/>
    <w:qFormat/>
    <w:uiPriority w:val="0"/>
    <w:pPr>
      <w:wordWrap w:val="0"/>
      <w:ind w:left="3400"/>
      <w:jc w:val="both"/>
    </w:pPr>
    <w:rPr>
      <w:rFonts w:ascii="Calibri" w:hAnsi="Calibri" w:eastAsia="宋体" w:cs="Times New Roman"/>
      <w:sz w:val="21"/>
      <w:lang w:val="en-US" w:eastAsia="zh-CN" w:bidi="ar-SA"/>
    </w:rPr>
  </w:style>
  <w:style w:type="paragraph" w:customStyle="1" w:styleId="252">
    <w:name w:val="toc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53">
    <w:name w:val="toc 38"/>
    <w:next w:val="1"/>
    <w:qFormat/>
    <w:uiPriority w:val="0"/>
    <w:pPr>
      <w:wordWrap w:val="0"/>
      <w:ind w:left="850"/>
      <w:jc w:val="both"/>
    </w:pPr>
    <w:rPr>
      <w:rFonts w:ascii="Calibri" w:hAnsi="Calibri" w:eastAsia="宋体" w:cs="Times New Roman"/>
      <w:sz w:val="21"/>
      <w:lang w:val="en-US" w:eastAsia="zh-CN" w:bidi="ar-SA"/>
    </w:rPr>
  </w:style>
  <w:style w:type="paragraph" w:customStyle="1" w:styleId="254">
    <w:name w:val="toc 95"/>
    <w:next w:val="1"/>
    <w:qFormat/>
    <w:uiPriority w:val="0"/>
    <w:pPr>
      <w:wordWrap w:val="0"/>
      <w:ind w:left="3400"/>
      <w:jc w:val="both"/>
    </w:pPr>
    <w:rPr>
      <w:rFonts w:ascii="Calibri" w:hAnsi="Calibri" w:eastAsia="宋体" w:cs="Times New Roman"/>
      <w:sz w:val="21"/>
      <w:lang w:val="en-US" w:eastAsia="zh-CN" w:bidi="ar-SA"/>
    </w:rPr>
  </w:style>
  <w:style w:type="paragraph" w:customStyle="1" w:styleId="255">
    <w:name w:val="列出段落5"/>
    <w:basedOn w:val="1"/>
    <w:next w:val="256"/>
    <w:qFormat/>
    <w:uiPriority w:val="0"/>
    <w:pPr>
      <w:ind w:firstLine="420"/>
    </w:pPr>
    <w:rPr>
      <w:rFonts w:hAnsi="Calibri"/>
      <w:kern w:val="0"/>
      <w:szCs w:val="20"/>
    </w:rPr>
  </w:style>
  <w:style w:type="paragraph" w:customStyle="1" w:styleId="256">
    <w:name w:val="toc 312"/>
    <w:next w:val="1"/>
    <w:qFormat/>
    <w:uiPriority w:val="0"/>
    <w:pPr>
      <w:wordWrap w:val="0"/>
      <w:ind w:left="850"/>
      <w:jc w:val="both"/>
    </w:pPr>
    <w:rPr>
      <w:rFonts w:ascii="Calibri" w:hAnsi="Calibri" w:eastAsia="宋体" w:cs="Times New Roman"/>
      <w:sz w:val="21"/>
      <w:lang w:val="en-US" w:eastAsia="zh-CN" w:bidi="ar-SA"/>
    </w:rPr>
  </w:style>
  <w:style w:type="paragraph" w:customStyle="1" w:styleId="257">
    <w:name w:val="xl66"/>
    <w:basedOn w:val="1"/>
    <w:next w:val="258"/>
    <w:qFormat/>
    <w:uiPriority w:val="0"/>
    <w:pPr>
      <w:widowControl/>
      <w:shd w:val="clear" w:color="000000" w:fill="FFFFFF"/>
      <w:spacing w:before="280" w:after="280"/>
    </w:pPr>
    <w:rPr>
      <w:rFonts w:ascii="宋体" w:hAnsi="Calibri"/>
      <w:kern w:val="0"/>
      <w:sz w:val="20"/>
      <w:szCs w:val="20"/>
    </w:rPr>
  </w:style>
  <w:style w:type="paragraph" w:customStyle="1" w:styleId="258">
    <w:name w:val="toc 56"/>
    <w:next w:val="1"/>
    <w:qFormat/>
    <w:uiPriority w:val="0"/>
    <w:pPr>
      <w:wordWrap w:val="0"/>
      <w:ind w:left="1700"/>
      <w:jc w:val="both"/>
    </w:pPr>
    <w:rPr>
      <w:rFonts w:ascii="Calibri" w:hAnsi="Calibri" w:eastAsia="宋体" w:cs="Times New Roman"/>
      <w:sz w:val="21"/>
      <w:lang w:val="en-US" w:eastAsia="zh-CN" w:bidi="ar-SA"/>
    </w:rPr>
  </w:style>
  <w:style w:type="paragraph" w:customStyle="1" w:styleId="259">
    <w:name w:val="TOC Heading3"/>
    <w:next w:val="1"/>
    <w:qFormat/>
    <w:uiPriority w:val="0"/>
    <w:pPr>
      <w:wordWrap w:val="0"/>
    </w:pPr>
    <w:rPr>
      <w:rFonts w:ascii="Calibri" w:hAnsi="Calibri" w:eastAsia="宋体" w:cs="Times New Roman"/>
      <w:sz w:val="32"/>
      <w:lang w:val="en-US" w:eastAsia="zh-CN" w:bidi="ar-SA"/>
    </w:rPr>
  </w:style>
  <w:style w:type="paragraph" w:customStyle="1" w:styleId="260">
    <w:name w:val="toc 65"/>
    <w:next w:val="1"/>
    <w:qFormat/>
    <w:uiPriority w:val="0"/>
    <w:pPr>
      <w:wordWrap w:val="0"/>
      <w:ind w:left="2125"/>
      <w:jc w:val="both"/>
    </w:pPr>
    <w:rPr>
      <w:rFonts w:ascii="Calibri" w:hAnsi="Calibri" w:eastAsia="宋体" w:cs="Times New Roman"/>
      <w:sz w:val="21"/>
      <w:lang w:val="en-US" w:eastAsia="zh-CN" w:bidi="ar-SA"/>
    </w:rPr>
  </w:style>
  <w:style w:type="paragraph" w:customStyle="1" w:styleId="261">
    <w:name w:val="toc 25"/>
    <w:next w:val="1"/>
    <w:qFormat/>
    <w:uiPriority w:val="0"/>
    <w:pPr>
      <w:wordWrap w:val="0"/>
      <w:ind w:left="425"/>
      <w:jc w:val="both"/>
    </w:pPr>
    <w:rPr>
      <w:rFonts w:ascii="Calibri" w:hAnsi="Calibri" w:eastAsia="宋体" w:cs="Times New Roman"/>
      <w:sz w:val="21"/>
      <w:lang w:val="en-US" w:eastAsia="zh-CN" w:bidi="ar-SA"/>
    </w:rPr>
  </w:style>
  <w:style w:type="paragraph" w:customStyle="1" w:styleId="262">
    <w:name w:val="xl84"/>
    <w:basedOn w:val="1"/>
    <w:next w:val="263"/>
    <w:qFormat/>
    <w:uiPriority w:val="0"/>
    <w:pPr>
      <w:widowControl/>
      <w:shd w:val="clear" w:color="000000" w:fill="FFFFFF"/>
      <w:spacing w:before="280" w:after="280"/>
      <w:jc w:val="center"/>
    </w:pPr>
    <w:rPr>
      <w:rFonts w:ascii="宋体" w:hAnsi="Calibri"/>
      <w:kern w:val="0"/>
      <w:sz w:val="20"/>
      <w:szCs w:val="20"/>
    </w:rPr>
  </w:style>
  <w:style w:type="paragraph" w:customStyle="1" w:styleId="263">
    <w:name w:val="toc 99"/>
    <w:next w:val="1"/>
    <w:qFormat/>
    <w:uiPriority w:val="0"/>
    <w:pPr>
      <w:wordWrap w:val="0"/>
      <w:ind w:left="3400"/>
      <w:jc w:val="both"/>
    </w:pPr>
    <w:rPr>
      <w:rFonts w:ascii="Calibri" w:hAnsi="Calibri" w:eastAsia="宋体" w:cs="Times New Roman"/>
      <w:sz w:val="21"/>
      <w:lang w:val="en-US" w:eastAsia="zh-CN" w:bidi="ar-SA"/>
    </w:rPr>
  </w:style>
  <w:style w:type="paragraph" w:customStyle="1" w:styleId="264">
    <w:name w:val="xl81"/>
    <w:basedOn w:val="1"/>
    <w:next w:val="265"/>
    <w:qFormat/>
    <w:uiPriority w:val="0"/>
    <w:pPr>
      <w:widowControl/>
      <w:shd w:val="clear" w:color="000000" w:fill="FFFFFF"/>
      <w:spacing w:before="280" w:after="280"/>
    </w:pPr>
    <w:rPr>
      <w:rFonts w:ascii="宋体" w:hAnsi="Calibri"/>
      <w:kern w:val="0"/>
      <w:sz w:val="20"/>
      <w:szCs w:val="20"/>
    </w:rPr>
  </w:style>
  <w:style w:type="paragraph" w:customStyle="1" w:styleId="265">
    <w:name w:val="toc 59"/>
    <w:next w:val="1"/>
    <w:qFormat/>
    <w:uiPriority w:val="0"/>
    <w:pPr>
      <w:wordWrap w:val="0"/>
      <w:ind w:left="1700"/>
      <w:jc w:val="both"/>
    </w:pPr>
    <w:rPr>
      <w:rFonts w:ascii="Calibri" w:hAnsi="Calibri" w:eastAsia="宋体" w:cs="Times New Roman"/>
      <w:sz w:val="21"/>
      <w:lang w:val="en-US" w:eastAsia="zh-CN" w:bidi="ar-SA"/>
    </w:rPr>
  </w:style>
  <w:style w:type="paragraph" w:customStyle="1" w:styleId="266">
    <w:name w:val="目录 11"/>
    <w:next w:val="1"/>
    <w:qFormat/>
    <w:uiPriority w:val="0"/>
    <w:pPr>
      <w:wordWrap w:val="0"/>
      <w:jc w:val="both"/>
    </w:pPr>
    <w:rPr>
      <w:rFonts w:ascii="Calibri" w:hAnsi="Calibri" w:eastAsia="宋体" w:cs="Times New Roman"/>
      <w:sz w:val="21"/>
      <w:lang w:val="en-US" w:eastAsia="zh-CN" w:bidi="ar-SA"/>
    </w:rPr>
  </w:style>
  <w:style w:type="paragraph" w:customStyle="1" w:styleId="267">
    <w:name w:val="toc 513"/>
    <w:next w:val="1"/>
    <w:qFormat/>
    <w:uiPriority w:val="0"/>
    <w:pPr>
      <w:wordWrap w:val="0"/>
      <w:ind w:left="1700"/>
      <w:jc w:val="both"/>
    </w:pPr>
    <w:rPr>
      <w:rFonts w:ascii="Calibri" w:hAnsi="Calibri" w:eastAsia="宋体" w:cs="Times New Roman"/>
      <w:sz w:val="21"/>
      <w:lang w:val="en-US" w:eastAsia="zh-CN" w:bidi="ar-SA"/>
    </w:rPr>
  </w:style>
  <w:style w:type="paragraph" w:customStyle="1" w:styleId="268">
    <w:name w:val="TOC Heading12"/>
    <w:next w:val="1"/>
    <w:qFormat/>
    <w:uiPriority w:val="0"/>
    <w:pPr>
      <w:wordWrap w:val="0"/>
    </w:pPr>
    <w:rPr>
      <w:rFonts w:ascii="Calibri" w:hAnsi="Calibri" w:eastAsia="宋体" w:cs="Times New Roman"/>
      <w:sz w:val="32"/>
      <w:lang w:val="en-US" w:eastAsia="zh-CN" w:bidi="ar-SA"/>
    </w:rPr>
  </w:style>
  <w:style w:type="paragraph" w:customStyle="1" w:styleId="269">
    <w:name w:val="TOC Heading8"/>
    <w:next w:val="1"/>
    <w:qFormat/>
    <w:uiPriority w:val="0"/>
    <w:pPr>
      <w:wordWrap w:val="0"/>
    </w:pPr>
    <w:rPr>
      <w:rFonts w:ascii="Calibri" w:hAnsi="Calibri" w:eastAsia="宋体" w:cs="Times New Roman"/>
      <w:sz w:val="32"/>
      <w:lang w:val="en-US" w:eastAsia="zh-CN" w:bidi="ar-SA"/>
    </w:rPr>
  </w:style>
  <w:style w:type="paragraph" w:customStyle="1" w:styleId="270">
    <w:name w:val="toc 711"/>
    <w:next w:val="1"/>
    <w:qFormat/>
    <w:uiPriority w:val="0"/>
    <w:pPr>
      <w:wordWrap w:val="0"/>
      <w:ind w:left="2550"/>
      <w:jc w:val="both"/>
    </w:pPr>
    <w:rPr>
      <w:rFonts w:ascii="Calibri" w:hAnsi="Calibri" w:eastAsia="宋体" w:cs="Times New Roman"/>
      <w:sz w:val="21"/>
      <w:lang w:val="en-US" w:eastAsia="zh-CN" w:bidi="ar-SA"/>
    </w:rPr>
  </w:style>
  <w:style w:type="paragraph" w:customStyle="1" w:styleId="271">
    <w:name w:val="toc 212"/>
    <w:next w:val="1"/>
    <w:qFormat/>
    <w:uiPriority w:val="0"/>
    <w:pPr>
      <w:wordWrap w:val="0"/>
      <w:ind w:left="425"/>
      <w:jc w:val="both"/>
    </w:pPr>
    <w:rPr>
      <w:rFonts w:ascii="Calibri" w:hAnsi="Calibri" w:eastAsia="宋体" w:cs="Times New Roman"/>
      <w:sz w:val="21"/>
      <w:lang w:val="en-US" w:eastAsia="zh-CN" w:bidi="ar-SA"/>
    </w:rPr>
  </w:style>
  <w:style w:type="paragraph" w:customStyle="1" w:styleId="272">
    <w:name w:val="目录 21"/>
    <w:next w:val="1"/>
    <w:qFormat/>
    <w:uiPriority w:val="0"/>
    <w:pPr>
      <w:wordWrap w:val="0"/>
      <w:ind w:left="425"/>
      <w:jc w:val="both"/>
    </w:pPr>
    <w:rPr>
      <w:rFonts w:ascii="Calibri" w:hAnsi="Calibri" w:eastAsia="宋体" w:cs="Times New Roman"/>
      <w:sz w:val="21"/>
      <w:lang w:val="en-US" w:eastAsia="zh-CN" w:bidi="ar-SA"/>
    </w:rPr>
  </w:style>
  <w:style w:type="paragraph" w:customStyle="1" w:styleId="273">
    <w:name w:val="toc 45"/>
    <w:next w:val="1"/>
    <w:qFormat/>
    <w:uiPriority w:val="0"/>
    <w:pPr>
      <w:wordWrap w:val="0"/>
      <w:ind w:left="1275"/>
      <w:jc w:val="both"/>
    </w:pPr>
    <w:rPr>
      <w:rFonts w:ascii="Calibri" w:hAnsi="Calibri" w:eastAsia="宋体" w:cs="Times New Roman"/>
      <w:sz w:val="21"/>
      <w:lang w:val="en-US" w:eastAsia="zh-CN" w:bidi="ar-SA"/>
    </w:rPr>
  </w:style>
  <w:style w:type="paragraph" w:customStyle="1" w:styleId="274">
    <w:name w:val="xl116"/>
    <w:basedOn w:val="1"/>
    <w:next w:val="275"/>
    <w:qFormat/>
    <w:uiPriority w:val="0"/>
    <w:pPr>
      <w:widowControl/>
      <w:shd w:val="clear" w:color="000000" w:fill="FFFFFF"/>
      <w:spacing w:before="280" w:after="280"/>
      <w:jc w:val="center"/>
    </w:pPr>
    <w:rPr>
      <w:rFonts w:ascii="Arial Narrow" w:hAnsi="Calibri"/>
      <w:kern w:val="0"/>
      <w:sz w:val="20"/>
      <w:szCs w:val="20"/>
    </w:rPr>
  </w:style>
  <w:style w:type="paragraph" w:customStyle="1" w:styleId="275">
    <w:name w:val="toc 78"/>
    <w:next w:val="1"/>
    <w:qFormat/>
    <w:uiPriority w:val="0"/>
    <w:pPr>
      <w:wordWrap w:val="0"/>
      <w:ind w:left="2550"/>
      <w:jc w:val="both"/>
    </w:pPr>
    <w:rPr>
      <w:rFonts w:ascii="Calibri" w:hAnsi="Calibri" w:eastAsia="宋体" w:cs="Times New Roman"/>
      <w:sz w:val="21"/>
      <w:lang w:val="en-US" w:eastAsia="zh-CN" w:bidi="ar-SA"/>
    </w:rPr>
  </w:style>
  <w:style w:type="paragraph" w:customStyle="1" w:styleId="276">
    <w:name w:val="font8"/>
    <w:basedOn w:val="1"/>
    <w:next w:val="277"/>
    <w:qFormat/>
    <w:uiPriority w:val="0"/>
    <w:pPr>
      <w:widowControl/>
      <w:spacing w:before="280" w:after="280"/>
    </w:pPr>
    <w:rPr>
      <w:rFonts w:ascii="Arial" w:hAnsi="Calibri"/>
      <w:kern w:val="0"/>
      <w:sz w:val="20"/>
      <w:szCs w:val="20"/>
    </w:rPr>
  </w:style>
  <w:style w:type="paragraph" w:customStyle="1" w:styleId="277">
    <w:name w:val="TOC Heading11"/>
    <w:next w:val="1"/>
    <w:qFormat/>
    <w:uiPriority w:val="0"/>
    <w:pPr>
      <w:wordWrap w:val="0"/>
    </w:pPr>
    <w:rPr>
      <w:rFonts w:ascii="Calibri" w:hAnsi="Calibri" w:eastAsia="宋体" w:cs="Times New Roman"/>
      <w:sz w:val="32"/>
      <w:lang w:val="en-US" w:eastAsia="zh-CN" w:bidi="ar-SA"/>
    </w:rPr>
  </w:style>
  <w:style w:type="paragraph" w:customStyle="1" w:styleId="278">
    <w:name w:val="xl69"/>
    <w:basedOn w:val="1"/>
    <w:next w:val="279"/>
    <w:qFormat/>
    <w:uiPriority w:val="0"/>
    <w:pPr>
      <w:widowControl/>
      <w:shd w:val="clear" w:color="000000" w:fill="FFFFFF"/>
      <w:spacing w:before="280" w:after="280"/>
    </w:pPr>
    <w:rPr>
      <w:rFonts w:ascii="宋体" w:hAnsi="Calibri"/>
      <w:b/>
      <w:kern w:val="0"/>
      <w:sz w:val="20"/>
      <w:szCs w:val="20"/>
    </w:rPr>
  </w:style>
  <w:style w:type="paragraph" w:customStyle="1" w:styleId="279">
    <w:name w:val="toc 48"/>
    <w:next w:val="1"/>
    <w:qFormat/>
    <w:uiPriority w:val="0"/>
    <w:pPr>
      <w:wordWrap w:val="0"/>
      <w:ind w:left="1275"/>
      <w:jc w:val="both"/>
    </w:pPr>
    <w:rPr>
      <w:rFonts w:ascii="Calibri" w:hAnsi="Calibri" w:eastAsia="宋体" w:cs="Times New Roman"/>
      <w:sz w:val="21"/>
      <w:lang w:val="en-US" w:eastAsia="zh-CN" w:bidi="ar-SA"/>
    </w:rPr>
  </w:style>
  <w:style w:type="paragraph" w:customStyle="1" w:styleId="280">
    <w:name w:val="toc 813"/>
    <w:next w:val="1"/>
    <w:qFormat/>
    <w:uiPriority w:val="0"/>
    <w:pPr>
      <w:wordWrap w:val="0"/>
      <w:ind w:left="2975"/>
      <w:jc w:val="both"/>
    </w:pPr>
    <w:rPr>
      <w:rFonts w:ascii="Calibri" w:hAnsi="Calibri" w:eastAsia="宋体" w:cs="Times New Roman"/>
      <w:sz w:val="21"/>
      <w:lang w:val="en-US" w:eastAsia="zh-CN" w:bidi="ar-SA"/>
    </w:rPr>
  </w:style>
  <w:style w:type="paragraph" w:customStyle="1" w:styleId="281">
    <w:name w:val="目录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82">
    <w:name w:val="列出段落3"/>
    <w:basedOn w:val="1"/>
    <w:next w:val="283"/>
    <w:qFormat/>
    <w:uiPriority w:val="0"/>
    <w:pPr>
      <w:ind w:firstLine="420"/>
    </w:pPr>
    <w:rPr>
      <w:rFonts w:hAnsi="Calibri"/>
      <w:kern w:val="0"/>
      <w:szCs w:val="20"/>
    </w:rPr>
  </w:style>
  <w:style w:type="paragraph" w:customStyle="1" w:styleId="283">
    <w:name w:val="toc 213"/>
    <w:next w:val="1"/>
    <w:qFormat/>
    <w:uiPriority w:val="0"/>
    <w:pPr>
      <w:wordWrap w:val="0"/>
      <w:ind w:left="425"/>
      <w:jc w:val="both"/>
    </w:pPr>
    <w:rPr>
      <w:rFonts w:ascii="Calibri" w:hAnsi="Calibri" w:eastAsia="宋体" w:cs="Times New Roman"/>
      <w:sz w:val="21"/>
      <w:lang w:val="en-US" w:eastAsia="zh-CN" w:bidi="ar-SA"/>
    </w:rPr>
  </w:style>
  <w:style w:type="paragraph" w:customStyle="1" w:styleId="284">
    <w:name w:val="TOC 标题1"/>
    <w:next w:val="1"/>
    <w:qFormat/>
    <w:uiPriority w:val="0"/>
    <w:pPr>
      <w:wordWrap w:val="0"/>
    </w:pPr>
    <w:rPr>
      <w:rFonts w:ascii="Calibri" w:hAnsi="Calibri" w:eastAsia="宋体" w:cs="Times New Roman"/>
      <w:sz w:val="32"/>
      <w:lang w:val="en-US" w:eastAsia="zh-CN" w:bidi="ar-SA"/>
    </w:rPr>
  </w:style>
  <w:style w:type="paragraph" w:customStyle="1" w:styleId="285">
    <w:name w:val="TOC Heading5"/>
    <w:next w:val="1"/>
    <w:qFormat/>
    <w:uiPriority w:val="0"/>
    <w:pPr>
      <w:wordWrap w:val="0"/>
    </w:pPr>
    <w:rPr>
      <w:rFonts w:ascii="Calibri" w:hAnsi="Calibri" w:eastAsia="宋体" w:cs="Times New Roman"/>
      <w:sz w:val="32"/>
      <w:lang w:val="en-US" w:eastAsia="zh-CN" w:bidi="ar-SA"/>
    </w:rPr>
  </w:style>
  <w:style w:type="paragraph" w:customStyle="1" w:styleId="286">
    <w:name w:val="toc 313"/>
    <w:next w:val="1"/>
    <w:qFormat/>
    <w:uiPriority w:val="0"/>
    <w:pPr>
      <w:wordWrap w:val="0"/>
      <w:ind w:left="850"/>
      <w:jc w:val="both"/>
    </w:pPr>
    <w:rPr>
      <w:rFonts w:ascii="Calibri" w:hAnsi="Calibri" w:eastAsia="宋体" w:cs="Times New Roman"/>
      <w:sz w:val="21"/>
      <w:lang w:val="en-US" w:eastAsia="zh-CN" w:bidi="ar-SA"/>
    </w:rPr>
  </w:style>
  <w:style w:type="paragraph" w:customStyle="1" w:styleId="287">
    <w:name w:val="toc 716"/>
    <w:next w:val="1"/>
    <w:qFormat/>
    <w:uiPriority w:val="0"/>
    <w:pPr>
      <w:wordWrap w:val="0"/>
      <w:ind w:left="2550"/>
      <w:jc w:val="both"/>
    </w:pPr>
    <w:rPr>
      <w:rFonts w:ascii="Calibri" w:hAnsi="Calibri" w:eastAsia="宋体" w:cs="Times New Roman"/>
      <w:sz w:val="21"/>
      <w:lang w:val="en-US" w:eastAsia="zh-CN" w:bidi="ar-SA"/>
    </w:rPr>
  </w:style>
  <w:style w:type="paragraph" w:customStyle="1" w:styleId="288">
    <w:name w:val="xl115"/>
    <w:basedOn w:val="1"/>
    <w:next w:val="289"/>
    <w:qFormat/>
    <w:uiPriority w:val="0"/>
    <w:pPr>
      <w:widowControl/>
      <w:shd w:val="clear" w:color="000000" w:fill="FFFFFF"/>
      <w:spacing w:before="280" w:after="280"/>
      <w:jc w:val="center"/>
    </w:pPr>
    <w:rPr>
      <w:rFonts w:ascii="宋体" w:hAnsi="Calibri"/>
      <w:b/>
      <w:kern w:val="0"/>
      <w:sz w:val="20"/>
      <w:szCs w:val="20"/>
    </w:rPr>
  </w:style>
  <w:style w:type="paragraph" w:customStyle="1" w:styleId="289">
    <w:name w:val="toc 712"/>
    <w:next w:val="1"/>
    <w:qFormat/>
    <w:uiPriority w:val="0"/>
    <w:pPr>
      <w:wordWrap w:val="0"/>
      <w:ind w:left="2550"/>
      <w:jc w:val="both"/>
    </w:pPr>
    <w:rPr>
      <w:rFonts w:ascii="Calibri" w:hAnsi="Calibri" w:eastAsia="宋体" w:cs="Times New Roman"/>
      <w:sz w:val="21"/>
      <w:lang w:val="en-US" w:eastAsia="zh-CN" w:bidi="ar-SA"/>
    </w:rPr>
  </w:style>
  <w:style w:type="paragraph" w:customStyle="1" w:styleId="290">
    <w:name w:val="toc 64"/>
    <w:next w:val="1"/>
    <w:qFormat/>
    <w:uiPriority w:val="0"/>
    <w:pPr>
      <w:wordWrap w:val="0"/>
      <w:ind w:left="2125"/>
      <w:jc w:val="both"/>
    </w:pPr>
    <w:rPr>
      <w:rFonts w:ascii="Calibri" w:hAnsi="Calibri" w:eastAsia="宋体" w:cs="Times New Roman"/>
      <w:sz w:val="21"/>
      <w:lang w:val="en-US" w:eastAsia="zh-CN" w:bidi="ar-SA"/>
    </w:rPr>
  </w:style>
  <w:style w:type="paragraph" w:customStyle="1" w:styleId="291">
    <w:name w:val="toc 24"/>
    <w:next w:val="1"/>
    <w:qFormat/>
    <w:uiPriority w:val="0"/>
    <w:pPr>
      <w:wordWrap w:val="0"/>
      <w:ind w:left="425"/>
      <w:jc w:val="both"/>
    </w:pPr>
    <w:rPr>
      <w:rFonts w:ascii="Calibri" w:hAnsi="Calibri" w:eastAsia="宋体" w:cs="Times New Roman"/>
      <w:sz w:val="21"/>
      <w:lang w:val="en-US" w:eastAsia="zh-CN" w:bidi="ar-SA"/>
    </w:rPr>
  </w:style>
  <w:style w:type="paragraph" w:customStyle="1" w:styleId="292">
    <w:name w:val="toc 54"/>
    <w:next w:val="1"/>
    <w:qFormat/>
    <w:uiPriority w:val="0"/>
    <w:pPr>
      <w:wordWrap w:val="0"/>
      <w:ind w:left="1700"/>
      <w:jc w:val="both"/>
    </w:pPr>
    <w:rPr>
      <w:rFonts w:ascii="Calibri" w:hAnsi="Calibri" w:eastAsia="宋体" w:cs="Times New Roman"/>
      <w:sz w:val="21"/>
      <w:lang w:val="en-US" w:eastAsia="zh-CN" w:bidi="ar-SA"/>
    </w:rPr>
  </w:style>
  <w:style w:type="paragraph" w:customStyle="1" w:styleId="293">
    <w:name w:val="xl93"/>
    <w:basedOn w:val="1"/>
    <w:next w:val="294"/>
    <w:qFormat/>
    <w:uiPriority w:val="0"/>
    <w:pPr>
      <w:widowControl/>
      <w:shd w:val="clear" w:color="000000" w:fill="FFFFFF"/>
      <w:spacing w:before="280" w:after="280"/>
      <w:jc w:val="center"/>
    </w:pPr>
    <w:rPr>
      <w:rFonts w:ascii="宋体" w:hAnsi="Calibri"/>
      <w:kern w:val="0"/>
      <w:sz w:val="20"/>
      <w:szCs w:val="20"/>
    </w:rPr>
  </w:style>
  <w:style w:type="paragraph" w:customStyle="1" w:styleId="294">
    <w:name w:val="toc 112"/>
    <w:next w:val="1"/>
    <w:qFormat/>
    <w:uiPriority w:val="0"/>
    <w:pPr>
      <w:wordWrap w:val="0"/>
      <w:jc w:val="both"/>
    </w:pPr>
    <w:rPr>
      <w:rFonts w:ascii="Calibri" w:hAnsi="Calibri" w:eastAsia="宋体" w:cs="Times New Roman"/>
      <w:sz w:val="21"/>
      <w:lang w:val="en-US" w:eastAsia="zh-CN" w:bidi="ar-SA"/>
    </w:rPr>
  </w:style>
  <w:style w:type="paragraph" w:customStyle="1" w:styleId="295">
    <w:name w:val="xl96"/>
    <w:basedOn w:val="1"/>
    <w:next w:val="246"/>
    <w:qFormat/>
    <w:uiPriority w:val="0"/>
    <w:pPr>
      <w:widowControl/>
      <w:shd w:val="clear" w:color="000000" w:fill="FFFFFF"/>
      <w:spacing w:before="280" w:after="280"/>
      <w:jc w:val="center"/>
    </w:pPr>
    <w:rPr>
      <w:rFonts w:ascii="宋体" w:hAnsi="Calibri"/>
      <w:kern w:val="0"/>
      <w:sz w:val="20"/>
      <w:szCs w:val="20"/>
    </w:rPr>
  </w:style>
  <w:style w:type="paragraph" w:customStyle="1" w:styleId="296">
    <w:name w:val="xl106"/>
    <w:basedOn w:val="1"/>
    <w:next w:val="280"/>
    <w:qFormat/>
    <w:uiPriority w:val="0"/>
    <w:pPr>
      <w:widowControl/>
      <w:shd w:val="clear" w:color="000000" w:fill="FFFFFF"/>
      <w:spacing w:before="280" w:after="280"/>
    </w:pPr>
    <w:rPr>
      <w:rFonts w:ascii="宋体" w:hAnsi="Calibri"/>
      <w:kern w:val="0"/>
      <w:sz w:val="20"/>
      <w:szCs w:val="20"/>
    </w:rPr>
  </w:style>
  <w:style w:type="paragraph" w:customStyle="1" w:styleId="297">
    <w:name w:val="toc 35"/>
    <w:next w:val="1"/>
    <w:qFormat/>
    <w:uiPriority w:val="0"/>
    <w:pPr>
      <w:wordWrap w:val="0"/>
      <w:ind w:left="850"/>
      <w:jc w:val="both"/>
    </w:pPr>
    <w:rPr>
      <w:rFonts w:ascii="Calibri" w:hAnsi="Calibri" w:eastAsia="宋体" w:cs="Times New Roman"/>
      <w:sz w:val="21"/>
      <w:lang w:val="en-US" w:eastAsia="zh-CN" w:bidi="ar-SA"/>
    </w:rPr>
  </w:style>
  <w:style w:type="paragraph" w:customStyle="1" w:styleId="298">
    <w:name w:val="TOC Heading14"/>
    <w:next w:val="1"/>
    <w:qFormat/>
    <w:uiPriority w:val="0"/>
    <w:pPr>
      <w:wordWrap w:val="0"/>
    </w:pPr>
    <w:rPr>
      <w:rFonts w:ascii="Calibri" w:hAnsi="Calibri" w:eastAsia="宋体" w:cs="Times New Roman"/>
      <w:sz w:val="32"/>
      <w:lang w:val="en-US" w:eastAsia="zh-CN" w:bidi="ar-SA"/>
    </w:rPr>
  </w:style>
  <w:style w:type="paragraph" w:customStyle="1" w:styleId="299">
    <w:name w:val="Char Char Char Char Char Char Char1"/>
    <w:basedOn w:val="1"/>
    <w:next w:val="300"/>
    <w:qFormat/>
    <w:uiPriority w:val="0"/>
    <w:pPr>
      <w:widowControl/>
      <w:spacing w:after="160" w:line="240" w:lineRule="exact"/>
    </w:pPr>
    <w:rPr>
      <w:rFonts w:hAnsi="Calibri"/>
      <w:kern w:val="0"/>
      <w:szCs w:val="20"/>
    </w:rPr>
  </w:style>
  <w:style w:type="paragraph" w:customStyle="1" w:styleId="300">
    <w:name w:val="toc 67"/>
    <w:next w:val="1"/>
    <w:qFormat/>
    <w:uiPriority w:val="0"/>
    <w:pPr>
      <w:wordWrap w:val="0"/>
      <w:ind w:left="2125"/>
      <w:jc w:val="both"/>
    </w:pPr>
    <w:rPr>
      <w:rFonts w:ascii="Calibri" w:hAnsi="Calibri" w:eastAsia="宋体" w:cs="Times New Roman"/>
      <w:sz w:val="21"/>
      <w:lang w:val="en-US" w:eastAsia="zh-CN" w:bidi="ar-SA"/>
    </w:rPr>
  </w:style>
  <w:style w:type="paragraph" w:customStyle="1" w:styleId="301">
    <w:name w:val="列出段落4"/>
    <w:basedOn w:val="1"/>
    <w:next w:val="302"/>
    <w:qFormat/>
    <w:uiPriority w:val="0"/>
    <w:pPr>
      <w:ind w:firstLine="420"/>
    </w:pPr>
    <w:rPr>
      <w:rFonts w:hAnsi="Calibri"/>
      <w:kern w:val="0"/>
      <w:szCs w:val="20"/>
    </w:rPr>
  </w:style>
  <w:style w:type="paragraph" w:customStyle="1" w:styleId="302">
    <w:name w:val="TOC Heading9"/>
    <w:next w:val="1"/>
    <w:qFormat/>
    <w:uiPriority w:val="0"/>
    <w:pPr>
      <w:wordWrap w:val="0"/>
    </w:pPr>
    <w:rPr>
      <w:rFonts w:ascii="Calibri" w:hAnsi="Calibri" w:eastAsia="宋体" w:cs="Times New Roman"/>
      <w:sz w:val="32"/>
      <w:lang w:val="en-US" w:eastAsia="zh-CN" w:bidi="ar-SA"/>
    </w:rPr>
  </w:style>
  <w:style w:type="paragraph" w:customStyle="1" w:styleId="303">
    <w:name w:val="xl71"/>
    <w:basedOn w:val="1"/>
    <w:next w:val="304"/>
    <w:qFormat/>
    <w:uiPriority w:val="0"/>
    <w:pPr>
      <w:widowControl/>
      <w:shd w:val="clear" w:color="000000" w:fill="FFFFFF"/>
      <w:spacing w:before="280" w:after="280"/>
    </w:pPr>
    <w:rPr>
      <w:rFonts w:ascii="宋体" w:hAnsi="Calibri"/>
      <w:kern w:val="0"/>
      <w:sz w:val="24"/>
      <w:szCs w:val="20"/>
    </w:rPr>
  </w:style>
  <w:style w:type="paragraph" w:customStyle="1" w:styleId="304">
    <w:name w:val="toc 115"/>
    <w:next w:val="1"/>
    <w:qFormat/>
    <w:uiPriority w:val="0"/>
    <w:pPr>
      <w:wordWrap w:val="0"/>
      <w:jc w:val="both"/>
    </w:pPr>
    <w:rPr>
      <w:rFonts w:ascii="Calibri" w:hAnsi="Calibri" w:eastAsia="宋体" w:cs="Times New Roman"/>
      <w:sz w:val="21"/>
      <w:lang w:val="en-US" w:eastAsia="zh-CN" w:bidi="ar-SA"/>
    </w:rPr>
  </w:style>
  <w:style w:type="paragraph" w:customStyle="1" w:styleId="305">
    <w:name w:val="toc 51"/>
    <w:next w:val="1"/>
    <w:qFormat/>
    <w:uiPriority w:val="0"/>
    <w:pPr>
      <w:wordWrap w:val="0"/>
      <w:ind w:left="1700"/>
      <w:jc w:val="both"/>
    </w:pPr>
    <w:rPr>
      <w:rFonts w:ascii="Calibri" w:hAnsi="Calibri" w:eastAsia="宋体" w:cs="Times New Roman"/>
      <w:sz w:val="21"/>
      <w:lang w:val="en-US" w:eastAsia="zh-CN" w:bidi="ar-SA"/>
    </w:rPr>
  </w:style>
  <w:style w:type="paragraph" w:customStyle="1" w:styleId="306">
    <w:name w:val="toc 47"/>
    <w:next w:val="1"/>
    <w:qFormat/>
    <w:uiPriority w:val="0"/>
    <w:pPr>
      <w:wordWrap w:val="0"/>
      <w:ind w:left="1275"/>
      <w:jc w:val="both"/>
    </w:pPr>
    <w:rPr>
      <w:rFonts w:ascii="Calibri" w:hAnsi="Calibri" w:eastAsia="宋体" w:cs="Times New Roman"/>
      <w:sz w:val="21"/>
      <w:lang w:val="en-US" w:eastAsia="zh-CN" w:bidi="ar-SA"/>
    </w:rPr>
  </w:style>
  <w:style w:type="paragraph" w:customStyle="1" w:styleId="307">
    <w:name w:val="xl108"/>
    <w:basedOn w:val="1"/>
    <w:next w:val="308"/>
    <w:qFormat/>
    <w:uiPriority w:val="0"/>
    <w:pPr>
      <w:widowControl/>
      <w:shd w:val="clear" w:color="000000" w:fill="FFFFFF"/>
      <w:spacing w:before="280" w:after="280"/>
    </w:pPr>
    <w:rPr>
      <w:rFonts w:ascii="宋体" w:hAnsi="Calibri"/>
      <w:kern w:val="0"/>
      <w:sz w:val="18"/>
      <w:szCs w:val="20"/>
    </w:rPr>
  </w:style>
  <w:style w:type="paragraph" w:customStyle="1" w:styleId="308">
    <w:name w:val="toc 18"/>
    <w:next w:val="1"/>
    <w:qFormat/>
    <w:uiPriority w:val="0"/>
    <w:pPr>
      <w:wordWrap w:val="0"/>
      <w:jc w:val="both"/>
    </w:pPr>
    <w:rPr>
      <w:rFonts w:ascii="Calibri" w:hAnsi="Calibri" w:eastAsia="宋体" w:cs="Times New Roman"/>
      <w:sz w:val="21"/>
      <w:lang w:val="en-US" w:eastAsia="zh-CN" w:bidi="ar-SA"/>
    </w:rPr>
  </w:style>
  <w:style w:type="paragraph" w:customStyle="1" w:styleId="309">
    <w:name w:val="TOC Heading7"/>
    <w:next w:val="1"/>
    <w:qFormat/>
    <w:uiPriority w:val="0"/>
    <w:pPr>
      <w:wordWrap w:val="0"/>
    </w:pPr>
    <w:rPr>
      <w:rFonts w:ascii="Calibri" w:hAnsi="Calibri" w:eastAsia="宋体" w:cs="Times New Roman"/>
      <w:sz w:val="32"/>
      <w:lang w:val="en-US" w:eastAsia="zh-CN" w:bidi="ar-SA"/>
    </w:rPr>
  </w:style>
  <w:style w:type="character" w:customStyle="1" w:styleId="310">
    <w:name w:val="副标题 字符"/>
    <w:basedOn w:val="46"/>
    <w:link w:val="31"/>
    <w:qFormat/>
    <w:uiPriority w:val="0"/>
    <w:rPr>
      <w:rFonts w:ascii="Calibri" w:hAnsi="Calibri"/>
      <w:sz w:val="24"/>
    </w:rPr>
  </w:style>
  <w:style w:type="paragraph" w:customStyle="1" w:styleId="311">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312">
    <w:name w:val="toc 413"/>
    <w:next w:val="1"/>
    <w:qFormat/>
    <w:uiPriority w:val="0"/>
    <w:pPr>
      <w:wordWrap w:val="0"/>
      <w:ind w:left="1275"/>
      <w:jc w:val="both"/>
    </w:pPr>
    <w:rPr>
      <w:rFonts w:ascii="Calibri" w:hAnsi="Calibri" w:eastAsia="宋体" w:cs="Times New Roman"/>
      <w:sz w:val="21"/>
      <w:lang w:val="en-US" w:eastAsia="zh-CN" w:bidi="ar-SA"/>
    </w:rPr>
  </w:style>
  <w:style w:type="paragraph" w:customStyle="1" w:styleId="313">
    <w:name w:val="toc 85"/>
    <w:next w:val="1"/>
    <w:qFormat/>
    <w:uiPriority w:val="0"/>
    <w:pPr>
      <w:wordWrap w:val="0"/>
      <w:ind w:left="2975"/>
      <w:jc w:val="both"/>
    </w:pPr>
    <w:rPr>
      <w:rFonts w:ascii="Calibri" w:hAnsi="Calibri" w:eastAsia="宋体" w:cs="Times New Roman"/>
      <w:sz w:val="21"/>
      <w:lang w:val="en-US" w:eastAsia="zh-CN" w:bidi="ar-SA"/>
    </w:rPr>
  </w:style>
  <w:style w:type="paragraph" w:customStyle="1" w:styleId="314">
    <w:name w:val="列出段落6"/>
    <w:basedOn w:val="1"/>
    <w:next w:val="315"/>
    <w:qFormat/>
    <w:uiPriority w:val="0"/>
    <w:pPr>
      <w:ind w:firstLine="420"/>
    </w:pPr>
    <w:rPr>
      <w:rFonts w:hAnsi="Calibri"/>
      <w:kern w:val="0"/>
      <w:szCs w:val="20"/>
    </w:rPr>
  </w:style>
  <w:style w:type="paragraph" w:customStyle="1" w:styleId="315">
    <w:name w:val="toc 86"/>
    <w:next w:val="1"/>
    <w:qFormat/>
    <w:uiPriority w:val="0"/>
    <w:pPr>
      <w:wordWrap w:val="0"/>
      <w:ind w:left="2975"/>
      <w:jc w:val="both"/>
    </w:pPr>
    <w:rPr>
      <w:rFonts w:ascii="Calibri" w:hAnsi="Calibri" w:eastAsia="宋体" w:cs="Times New Roman"/>
      <w:sz w:val="21"/>
      <w:lang w:val="en-US" w:eastAsia="zh-CN" w:bidi="ar-SA"/>
    </w:rPr>
  </w:style>
  <w:style w:type="paragraph" w:customStyle="1" w:styleId="316">
    <w:name w:val="xl80"/>
    <w:basedOn w:val="1"/>
    <w:next w:val="317"/>
    <w:qFormat/>
    <w:uiPriority w:val="0"/>
    <w:pPr>
      <w:widowControl/>
      <w:shd w:val="clear" w:color="000000" w:fill="FFFFFF"/>
      <w:spacing w:before="280" w:after="280"/>
      <w:jc w:val="center"/>
    </w:pPr>
    <w:rPr>
      <w:rFonts w:ascii="宋体" w:hAnsi="Calibri"/>
      <w:b/>
      <w:kern w:val="0"/>
      <w:sz w:val="20"/>
      <w:szCs w:val="20"/>
    </w:rPr>
  </w:style>
  <w:style w:type="paragraph" w:customStyle="1" w:styleId="317">
    <w:name w:val="toc 49"/>
    <w:next w:val="1"/>
    <w:qFormat/>
    <w:uiPriority w:val="0"/>
    <w:pPr>
      <w:wordWrap w:val="0"/>
      <w:ind w:left="1275"/>
      <w:jc w:val="both"/>
    </w:pPr>
    <w:rPr>
      <w:rFonts w:ascii="Calibri" w:hAnsi="Calibri" w:eastAsia="宋体" w:cs="Times New Roman"/>
      <w:sz w:val="21"/>
      <w:lang w:val="en-US" w:eastAsia="zh-CN" w:bidi="ar-SA"/>
    </w:rPr>
  </w:style>
  <w:style w:type="paragraph" w:customStyle="1" w:styleId="318">
    <w:name w:val="Char Char Char Char1"/>
    <w:basedOn w:val="1"/>
    <w:next w:val="319"/>
    <w:qFormat/>
    <w:uiPriority w:val="0"/>
    <w:pPr>
      <w:widowControl/>
      <w:spacing w:after="160" w:line="240" w:lineRule="exact"/>
    </w:pPr>
    <w:rPr>
      <w:rFonts w:ascii="Verdana" w:hAnsi="Calibri" w:eastAsia="仿宋_GB2312"/>
      <w:kern w:val="0"/>
      <w:sz w:val="24"/>
      <w:szCs w:val="20"/>
    </w:rPr>
  </w:style>
  <w:style w:type="paragraph" w:customStyle="1" w:styleId="319">
    <w:name w:val="toc 713"/>
    <w:next w:val="1"/>
    <w:qFormat/>
    <w:uiPriority w:val="0"/>
    <w:pPr>
      <w:wordWrap w:val="0"/>
      <w:ind w:left="2550"/>
      <w:jc w:val="both"/>
    </w:pPr>
    <w:rPr>
      <w:rFonts w:ascii="Calibri" w:hAnsi="Calibri" w:eastAsia="宋体" w:cs="Times New Roman"/>
      <w:sz w:val="21"/>
      <w:lang w:val="en-US" w:eastAsia="zh-CN" w:bidi="ar-SA"/>
    </w:rPr>
  </w:style>
  <w:style w:type="paragraph" w:customStyle="1" w:styleId="320">
    <w:name w:val="xl102"/>
    <w:basedOn w:val="1"/>
    <w:next w:val="321"/>
    <w:qFormat/>
    <w:uiPriority w:val="0"/>
    <w:pPr>
      <w:widowControl/>
      <w:shd w:val="clear" w:color="000000" w:fill="FFFFFF"/>
      <w:spacing w:before="280" w:after="280"/>
      <w:jc w:val="right"/>
    </w:pPr>
    <w:rPr>
      <w:rFonts w:ascii="宋体" w:hAnsi="Calibri"/>
      <w:kern w:val="0"/>
      <w:sz w:val="20"/>
      <w:szCs w:val="20"/>
    </w:rPr>
  </w:style>
  <w:style w:type="paragraph" w:customStyle="1" w:styleId="321">
    <w:name w:val="toc 17"/>
    <w:next w:val="1"/>
    <w:qFormat/>
    <w:uiPriority w:val="0"/>
    <w:pPr>
      <w:wordWrap w:val="0"/>
      <w:jc w:val="both"/>
    </w:pPr>
    <w:rPr>
      <w:rFonts w:ascii="Calibri" w:hAnsi="Calibri" w:eastAsia="宋体" w:cs="Times New Roman"/>
      <w:sz w:val="21"/>
      <w:lang w:val="en-US" w:eastAsia="zh-CN" w:bidi="ar-SA"/>
    </w:rPr>
  </w:style>
  <w:style w:type="paragraph" w:customStyle="1" w:styleId="322">
    <w:name w:val="toc 46"/>
    <w:next w:val="1"/>
    <w:qFormat/>
    <w:uiPriority w:val="0"/>
    <w:pPr>
      <w:wordWrap w:val="0"/>
      <w:ind w:left="1275"/>
      <w:jc w:val="both"/>
    </w:pPr>
    <w:rPr>
      <w:rFonts w:ascii="Calibri" w:hAnsi="Calibri" w:eastAsia="宋体" w:cs="Times New Roman"/>
      <w:sz w:val="21"/>
      <w:lang w:val="en-US" w:eastAsia="zh-CN" w:bidi="ar-SA"/>
    </w:rPr>
  </w:style>
  <w:style w:type="paragraph" w:customStyle="1" w:styleId="323">
    <w:name w:val="toc 311"/>
    <w:next w:val="1"/>
    <w:qFormat/>
    <w:uiPriority w:val="0"/>
    <w:pPr>
      <w:wordWrap w:val="0"/>
      <w:ind w:left="850"/>
      <w:jc w:val="both"/>
    </w:pPr>
    <w:rPr>
      <w:rFonts w:ascii="Calibri" w:hAnsi="Calibri" w:eastAsia="宋体" w:cs="Times New Roman"/>
      <w:sz w:val="21"/>
      <w:lang w:val="en-US" w:eastAsia="zh-CN" w:bidi="ar-SA"/>
    </w:rPr>
  </w:style>
  <w:style w:type="paragraph" w:customStyle="1" w:styleId="324">
    <w:name w:val="xl65"/>
    <w:basedOn w:val="1"/>
    <w:next w:val="225"/>
    <w:qFormat/>
    <w:uiPriority w:val="0"/>
    <w:pPr>
      <w:widowControl/>
      <w:shd w:val="clear" w:color="000000" w:fill="FFFFFF"/>
      <w:spacing w:before="280" w:after="280"/>
      <w:jc w:val="center"/>
    </w:pPr>
    <w:rPr>
      <w:rFonts w:ascii="宋体" w:hAnsi="Calibri"/>
      <w:kern w:val="0"/>
      <w:sz w:val="20"/>
      <w:szCs w:val="20"/>
    </w:rPr>
  </w:style>
  <w:style w:type="paragraph" w:customStyle="1" w:styleId="325">
    <w:name w:val="toc 94"/>
    <w:next w:val="1"/>
    <w:qFormat/>
    <w:uiPriority w:val="0"/>
    <w:pPr>
      <w:wordWrap w:val="0"/>
      <w:ind w:left="3400"/>
      <w:jc w:val="both"/>
    </w:pPr>
    <w:rPr>
      <w:rFonts w:ascii="Calibri" w:hAnsi="Calibri" w:eastAsia="宋体" w:cs="Times New Roman"/>
      <w:sz w:val="21"/>
      <w:lang w:val="en-US" w:eastAsia="zh-CN" w:bidi="ar-SA"/>
    </w:rPr>
  </w:style>
  <w:style w:type="paragraph" w:customStyle="1" w:styleId="326">
    <w:name w:val="toc 55"/>
    <w:next w:val="1"/>
    <w:qFormat/>
    <w:uiPriority w:val="0"/>
    <w:pPr>
      <w:wordWrap w:val="0"/>
      <w:ind w:left="1700"/>
      <w:jc w:val="both"/>
    </w:pPr>
    <w:rPr>
      <w:rFonts w:ascii="Calibri" w:hAnsi="Calibri" w:eastAsia="宋体" w:cs="Times New Roman"/>
      <w:sz w:val="21"/>
      <w:lang w:val="en-US" w:eastAsia="zh-CN" w:bidi="ar-SA"/>
    </w:rPr>
  </w:style>
  <w:style w:type="paragraph" w:customStyle="1" w:styleId="327">
    <w:name w:val="toc 812"/>
    <w:next w:val="1"/>
    <w:qFormat/>
    <w:uiPriority w:val="0"/>
    <w:pPr>
      <w:wordWrap w:val="0"/>
      <w:ind w:left="2975"/>
      <w:jc w:val="both"/>
    </w:pPr>
    <w:rPr>
      <w:rFonts w:ascii="Calibri" w:hAnsi="Calibri" w:eastAsia="宋体" w:cs="Times New Roman"/>
      <w:sz w:val="21"/>
      <w:lang w:val="en-US" w:eastAsia="zh-CN" w:bidi="ar-SA"/>
    </w:rPr>
  </w:style>
  <w:style w:type="paragraph" w:customStyle="1" w:styleId="328">
    <w:name w:val="xl75"/>
    <w:basedOn w:val="1"/>
    <w:next w:val="329"/>
    <w:qFormat/>
    <w:uiPriority w:val="0"/>
    <w:pPr>
      <w:widowControl/>
      <w:shd w:val="clear" w:color="000000" w:fill="FFFFFF"/>
      <w:spacing w:before="280" w:after="280"/>
    </w:pPr>
    <w:rPr>
      <w:rFonts w:ascii="宋体" w:hAnsi="Calibri"/>
      <w:kern w:val="0"/>
      <w:sz w:val="20"/>
      <w:szCs w:val="20"/>
    </w:rPr>
  </w:style>
  <w:style w:type="paragraph" w:customStyle="1" w:styleId="329">
    <w:name w:val="toc 914"/>
    <w:next w:val="1"/>
    <w:qFormat/>
    <w:uiPriority w:val="0"/>
    <w:pPr>
      <w:wordWrap w:val="0"/>
      <w:ind w:left="3400"/>
      <w:jc w:val="both"/>
    </w:pPr>
    <w:rPr>
      <w:rFonts w:ascii="Calibri" w:hAnsi="Calibri" w:eastAsia="宋体" w:cs="Times New Roman"/>
      <w:sz w:val="21"/>
      <w:lang w:val="en-US" w:eastAsia="zh-CN" w:bidi="ar-SA"/>
    </w:rPr>
  </w:style>
  <w:style w:type="paragraph" w:customStyle="1" w:styleId="330">
    <w:name w:val="toc 19"/>
    <w:next w:val="1"/>
    <w:qFormat/>
    <w:uiPriority w:val="0"/>
    <w:pPr>
      <w:wordWrap w:val="0"/>
      <w:jc w:val="both"/>
    </w:pPr>
    <w:rPr>
      <w:rFonts w:ascii="Calibri" w:hAnsi="Calibri" w:eastAsia="宋体" w:cs="Times New Roman"/>
      <w:sz w:val="21"/>
      <w:lang w:val="en-US" w:eastAsia="zh-CN" w:bidi="ar-SA"/>
    </w:rPr>
  </w:style>
  <w:style w:type="paragraph" w:customStyle="1" w:styleId="331">
    <w:name w:val="TOC Heading6"/>
    <w:next w:val="1"/>
    <w:qFormat/>
    <w:uiPriority w:val="0"/>
    <w:pPr>
      <w:wordWrap w:val="0"/>
    </w:pPr>
    <w:rPr>
      <w:rFonts w:ascii="Calibri" w:hAnsi="Calibri" w:eastAsia="宋体" w:cs="Times New Roman"/>
      <w:sz w:val="32"/>
      <w:lang w:val="en-US" w:eastAsia="zh-CN" w:bidi="ar-SA"/>
    </w:rPr>
  </w:style>
  <w:style w:type="paragraph" w:customStyle="1" w:styleId="332">
    <w:name w:val="toc 52"/>
    <w:next w:val="1"/>
    <w:qFormat/>
    <w:uiPriority w:val="0"/>
    <w:pPr>
      <w:wordWrap w:val="0"/>
      <w:ind w:left="1700"/>
      <w:jc w:val="both"/>
    </w:pPr>
    <w:rPr>
      <w:rFonts w:ascii="Calibri" w:hAnsi="Calibri" w:eastAsia="宋体" w:cs="Times New Roman"/>
      <w:sz w:val="21"/>
      <w:lang w:val="en-US" w:eastAsia="zh-CN" w:bidi="ar-SA"/>
    </w:rPr>
  </w:style>
  <w:style w:type="paragraph" w:customStyle="1" w:styleId="333">
    <w:name w:val="toc 36"/>
    <w:next w:val="1"/>
    <w:qFormat/>
    <w:uiPriority w:val="0"/>
    <w:pPr>
      <w:wordWrap w:val="0"/>
      <w:ind w:left="850"/>
      <w:jc w:val="both"/>
    </w:pPr>
    <w:rPr>
      <w:rFonts w:ascii="Calibri" w:hAnsi="Calibri" w:eastAsia="宋体" w:cs="Times New Roman"/>
      <w:sz w:val="21"/>
      <w:lang w:val="en-US" w:eastAsia="zh-CN" w:bidi="ar-SA"/>
    </w:rPr>
  </w:style>
  <w:style w:type="paragraph" w:customStyle="1" w:styleId="334">
    <w:name w:val="toc 82"/>
    <w:next w:val="1"/>
    <w:qFormat/>
    <w:uiPriority w:val="0"/>
    <w:pPr>
      <w:wordWrap w:val="0"/>
      <w:ind w:left="2975"/>
      <w:jc w:val="both"/>
    </w:pPr>
    <w:rPr>
      <w:rFonts w:ascii="Calibri" w:hAnsi="Calibri" w:eastAsia="宋体" w:cs="Times New Roman"/>
      <w:sz w:val="21"/>
      <w:lang w:val="en-US" w:eastAsia="zh-CN" w:bidi="ar-SA"/>
    </w:rPr>
  </w:style>
  <w:style w:type="paragraph" w:customStyle="1" w:styleId="335">
    <w:name w:val="xl104"/>
    <w:basedOn w:val="1"/>
    <w:next w:val="336"/>
    <w:qFormat/>
    <w:uiPriority w:val="0"/>
    <w:pPr>
      <w:widowControl/>
      <w:shd w:val="clear" w:color="000000" w:fill="FFFFFF"/>
      <w:spacing w:before="280" w:after="280"/>
      <w:jc w:val="center"/>
    </w:pPr>
    <w:rPr>
      <w:rFonts w:ascii="宋体" w:hAnsi="Calibri"/>
      <w:kern w:val="0"/>
      <w:sz w:val="20"/>
      <w:szCs w:val="20"/>
    </w:rPr>
  </w:style>
  <w:style w:type="paragraph" w:customStyle="1" w:styleId="336">
    <w:name w:val="toc 210"/>
    <w:next w:val="1"/>
    <w:qFormat/>
    <w:uiPriority w:val="0"/>
    <w:pPr>
      <w:wordWrap w:val="0"/>
      <w:ind w:left="425"/>
      <w:jc w:val="both"/>
    </w:pPr>
    <w:rPr>
      <w:rFonts w:ascii="Calibri" w:hAnsi="Calibri" w:eastAsia="宋体" w:cs="Times New Roman"/>
      <w:sz w:val="21"/>
      <w:lang w:val="en-US" w:eastAsia="zh-CN" w:bidi="ar-SA"/>
    </w:rPr>
  </w:style>
  <w:style w:type="paragraph" w:customStyle="1" w:styleId="337">
    <w:name w:val="toc 110"/>
    <w:next w:val="1"/>
    <w:qFormat/>
    <w:uiPriority w:val="0"/>
    <w:pPr>
      <w:wordWrap w:val="0"/>
      <w:jc w:val="both"/>
    </w:pPr>
    <w:rPr>
      <w:rFonts w:ascii="Calibri" w:hAnsi="Calibri" w:eastAsia="宋体" w:cs="Times New Roman"/>
      <w:sz w:val="21"/>
      <w:lang w:val="en-US" w:eastAsia="zh-CN" w:bidi="ar-SA"/>
    </w:rPr>
  </w:style>
  <w:style w:type="paragraph" w:customStyle="1" w:styleId="338">
    <w:name w:val="toc 66"/>
    <w:next w:val="1"/>
    <w:qFormat/>
    <w:uiPriority w:val="0"/>
    <w:pPr>
      <w:wordWrap w:val="0"/>
      <w:ind w:left="2125"/>
      <w:jc w:val="both"/>
    </w:pPr>
    <w:rPr>
      <w:rFonts w:ascii="Calibri" w:hAnsi="Calibri" w:eastAsia="宋体" w:cs="Times New Roman"/>
      <w:sz w:val="21"/>
      <w:lang w:val="en-US" w:eastAsia="zh-CN" w:bidi="ar-SA"/>
    </w:rPr>
  </w:style>
  <w:style w:type="paragraph" w:customStyle="1" w:styleId="339">
    <w:name w:val="toc 31"/>
    <w:next w:val="1"/>
    <w:qFormat/>
    <w:uiPriority w:val="0"/>
    <w:pPr>
      <w:wordWrap w:val="0"/>
      <w:ind w:left="850"/>
      <w:jc w:val="both"/>
    </w:pPr>
    <w:rPr>
      <w:rFonts w:ascii="Calibri" w:hAnsi="Calibri" w:eastAsia="宋体" w:cs="Times New Roman"/>
      <w:sz w:val="21"/>
      <w:lang w:val="en-US" w:eastAsia="zh-CN" w:bidi="ar-SA"/>
    </w:rPr>
  </w:style>
  <w:style w:type="paragraph" w:customStyle="1" w:styleId="340">
    <w:name w:val="toc 93"/>
    <w:next w:val="1"/>
    <w:qFormat/>
    <w:uiPriority w:val="0"/>
    <w:pPr>
      <w:wordWrap w:val="0"/>
      <w:ind w:left="3400"/>
      <w:jc w:val="both"/>
    </w:pPr>
    <w:rPr>
      <w:rFonts w:ascii="Calibri" w:hAnsi="Calibri" w:eastAsia="宋体" w:cs="Times New Roman"/>
      <w:sz w:val="21"/>
      <w:lang w:val="en-US" w:eastAsia="zh-CN" w:bidi="ar-SA"/>
    </w:rPr>
  </w:style>
  <w:style w:type="paragraph" w:customStyle="1" w:styleId="341">
    <w:name w:val="toc 614"/>
    <w:next w:val="1"/>
    <w:qFormat/>
    <w:uiPriority w:val="0"/>
    <w:pPr>
      <w:wordWrap w:val="0"/>
      <w:ind w:left="2125"/>
      <w:jc w:val="both"/>
    </w:pPr>
    <w:rPr>
      <w:rFonts w:ascii="Calibri" w:hAnsi="Calibri" w:eastAsia="宋体" w:cs="Times New Roman"/>
      <w:sz w:val="21"/>
      <w:lang w:val="en-US" w:eastAsia="zh-CN" w:bidi="ar-SA"/>
    </w:rPr>
  </w:style>
  <w:style w:type="paragraph" w:customStyle="1" w:styleId="342">
    <w:name w:val="无间隔1"/>
    <w:next w:val="337"/>
    <w:qFormat/>
    <w:uiPriority w:val="0"/>
    <w:pPr>
      <w:widowControl w:val="0"/>
      <w:jc w:val="both"/>
    </w:pPr>
    <w:rPr>
      <w:rFonts w:ascii="Calibri" w:hAnsi="Calibri" w:eastAsia="宋体" w:cs="Times New Roman"/>
      <w:sz w:val="22"/>
      <w:lang w:val="en-US" w:eastAsia="zh-CN" w:bidi="ar-SA"/>
    </w:rPr>
  </w:style>
  <w:style w:type="paragraph" w:customStyle="1" w:styleId="343">
    <w:name w:val="目录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4">
    <w:name w:val="xl105"/>
    <w:basedOn w:val="1"/>
    <w:next w:val="345"/>
    <w:qFormat/>
    <w:uiPriority w:val="0"/>
    <w:pPr>
      <w:widowControl/>
      <w:shd w:val="clear" w:color="000000" w:fill="FFFFFF"/>
      <w:spacing w:before="280" w:after="280"/>
    </w:pPr>
    <w:rPr>
      <w:rFonts w:ascii="宋体" w:hAnsi="Calibri"/>
      <w:kern w:val="0"/>
      <w:sz w:val="18"/>
      <w:szCs w:val="20"/>
    </w:rPr>
  </w:style>
  <w:style w:type="paragraph" w:customStyle="1" w:styleId="345">
    <w:name w:val="toc 615"/>
    <w:next w:val="1"/>
    <w:qFormat/>
    <w:uiPriority w:val="0"/>
    <w:pPr>
      <w:wordWrap w:val="0"/>
      <w:ind w:left="2125"/>
      <w:jc w:val="both"/>
    </w:pPr>
    <w:rPr>
      <w:rFonts w:ascii="Calibri" w:hAnsi="Calibri" w:eastAsia="宋体" w:cs="Times New Roman"/>
      <w:sz w:val="21"/>
      <w:lang w:val="en-US" w:eastAsia="zh-CN" w:bidi="ar-SA"/>
    </w:rPr>
  </w:style>
  <w:style w:type="paragraph" w:customStyle="1" w:styleId="346">
    <w:name w:val="toc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7">
    <w:name w:val="toc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48">
    <w:name w:val="xl111"/>
    <w:basedOn w:val="1"/>
    <w:next w:val="349"/>
    <w:qFormat/>
    <w:uiPriority w:val="0"/>
    <w:pPr>
      <w:widowControl/>
      <w:shd w:val="clear" w:color="000000" w:fill="FFFFFF"/>
      <w:spacing w:before="280" w:after="280"/>
      <w:jc w:val="center"/>
    </w:pPr>
    <w:rPr>
      <w:rFonts w:ascii="宋体" w:hAnsi="Calibri"/>
      <w:b/>
      <w:kern w:val="0"/>
      <w:sz w:val="20"/>
      <w:szCs w:val="20"/>
    </w:rPr>
  </w:style>
  <w:style w:type="paragraph" w:customStyle="1" w:styleId="349">
    <w:name w:val="toc 88"/>
    <w:next w:val="1"/>
    <w:qFormat/>
    <w:uiPriority w:val="0"/>
    <w:pPr>
      <w:wordWrap w:val="0"/>
      <w:ind w:left="2975"/>
      <w:jc w:val="both"/>
    </w:pPr>
    <w:rPr>
      <w:rFonts w:ascii="Calibri" w:hAnsi="Calibri" w:eastAsia="宋体" w:cs="Times New Roman"/>
      <w:sz w:val="21"/>
      <w:lang w:val="en-US" w:eastAsia="zh-CN" w:bidi="ar-SA"/>
    </w:rPr>
  </w:style>
  <w:style w:type="paragraph" w:customStyle="1" w:styleId="350">
    <w:name w:val="toc 84"/>
    <w:next w:val="1"/>
    <w:qFormat/>
    <w:uiPriority w:val="0"/>
    <w:pPr>
      <w:wordWrap w:val="0"/>
      <w:ind w:left="2975"/>
      <w:jc w:val="both"/>
    </w:pPr>
    <w:rPr>
      <w:rFonts w:ascii="Calibri" w:hAnsi="Calibri" w:eastAsia="宋体" w:cs="Times New Roman"/>
      <w:sz w:val="21"/>
      <w:lang w:val="en-US" w:eastAsia="zh-CN" w:bidi="ar-SA"/>
    </w:rPr>
  </w:style>
  <w:style w:type="paragraph" w:customStyle="1" w:styleId="351">
    <w:name w:val="p0"/>
    <w:basedOn w:val="1"/>
    <w:next w:val="352"/>
    <w:qFormat/>
    <w:uiPriority w:val="0"/>
    <w:pPr>
      <w:widowControl/>
      <w:spacing w:before="280" w:after="280"/>
    </w:pPr>
    <w:rPr>
      <w:rFonts w:ascii="宋体" w:hAnsi="Calibri"/>
      <w:kern w:val="0"/>
      <w:sz w:val="24"/>
      <w:szCs w:val="20"/>
    </w:rPr>
  </w:style>
  <w:style w:type="paragraph" w:customStyle="1" w:styleId="352">
    <w:name w:val="toc 69"/>
    <w:next w:val="1"/>
    <w:qFormat/>
    <w:uiPriority w:val="0"/>
    <w:pPr>
      <w:wordWrap w:val="0"/>
      <w:ind w:left="2125"/>
      <w:jc w:val="both"/>
    </w:pPr>
    <w:rPr>
      <w:rFonts w:ascii="Calibri" w:hAnsi="Calibri" w:eastAsia="宋体" w:cs="Times New Roman"/>
      <w:sz w:val="21"/>
      <w:lang w:val="en-US" w:eastAsia="zh-CN" w:bidi="ar-SA"/>
    </w:rPr>
  </w:style>
  <w:style w:type="paragraph" w:customStyle="1" w:styleId="353">
    <w:name w:val="列出段落11"/>
    <w:basedOn w:val="1"/>
    <w:next w:val="354"/>
    <w:qFormat/>
    <w:uiPriority w:val="0"/>
    <w:pPr>
      <w:widowControl/>
      <w:spacing w:line="360" w:lineRule="auto"/>
      <w:ind w:firstLine="420"/>
    </w:pPr>
    <w:rPr>
      <w:rFonts w:hAnsi="Calibri" w:eastAsia="微软雅黑"/>
      <w:kern w:val="0"/>
      <w:sz w:val="24"/>
      <w:szCs w:val="20"/>
    </w:rPr>
  </w:style>
  <w:style w:type="paragraph" w:customStyle="1" w:styleId="354">
    <w:name w:val="toc 214"/>
    <w:next w:val="1"/>
    <w:qFormat/>
    <w:uiPriority w:val="0"/>
    <w:pPr>
      <w:wordWrap w:val="0"/>
      <w:ind w:left="425"/>
      <w:jc w:val="both"/>
    </w:pPr>
    <w:rPr>
      <w:rFonts w:ascii="Calibri" w:hAnsi="Calibri" w:eastAsia="宋体" w:cs="Times New Roman"/>
      <w:sz w:val="21"/>
      <w:lang w:val="en-US" w:eastAsia="zh-CN" w:bidi="ar-SA"/>
    </w:rPr>
  </w:style>
  <w:style w:type="paragraph" w:customStyle="1" w:styleId="355">
    <w:name w:val="toc 63"/>
    <w:next w:val="1"/>
    <w:qFormat/>
    <w:uiPriority w:val="0"/>
    <w:pPr>
      <w:wordWrap w:val="0"/>
      <w:ind w:left="2125"/>
      <w:jc w:val="both"/>
    </w:pPr>
    <w:rPr>
      <w:rFonts w:ascii="Calibri" w:hAnsi="Calibri" w:eastAsia="宋体" w:cs="Times New Roman"/>
      <w:sz w:val="21"/>
      <w:lang w:val="en-US" w:eastAsia="zh-CN" w:bidi="ar-SA"/>
    </w:rPr>
  </w:style>
  <w:style w:type="paragraph" w:customStyle="1" w:styleId="356">
    <w:name w:val="xl91"/>
    <w:basedOn w:val="1"/>
    <w:next w:val="253"/>
    <w:qFormat/>
    <w:uiPriority w:val="0"/>
    <w:pPr>
      <w:widowControl/>
      <w:shd w:val="clear" w:color="000000" w:fill="FFFFFF"/>
      <w:spacing w:before="280" w:after="280"/>
    </w:pPr>
    <w:rPr>
      <w:rFonts w:ascii="宋体" w:hAnsi="Calibri"/>
      <w:kern w:val="0"/>
      <w:sz w:val="20"/>
      <w:szCs w:val="20"/>
    </w:rPr>
  </w:style>
  <w:style w:type="paragraph" w:customStyle="1" w:styleId="357">
    <w:name w:val="toc 316"/>
    <w:next w:val="1"/>
    <w:qFormat/>
    <w:uiPriority w:val="0"/>
    <w:pPr>
      <w:wordWrap w:val="0"/>
      <w:ind w:left="850"/>
      <w:jc w:val="both"/>
    </w:pPr>
    <w:rPr>
      <w:rFonts w:ascii="Calibri" w:hAnsi="Calibri" w:eastAsia="宋体" w:cs="Times New Roman"/>
      <w:sz w:val="21"/>
      <w:lang w:val="en-US" w:eastAsia="zh-CN" w:bidi="ar-SA"/>
    </w:rPr>
  </w:style>
  <w:style w:type="paragraph" w:customStyle="1" w:styleId="358">
    <w:name w:val="_Style 1"/>
    <w:basedOn w:val="1"/>
    <w:next w:val="359"/>
    <w:qFormat/>
    <w:uiPriority w:val="0"/>
    <w:pPr>
      <w:ind w:firstLine="420"/>
    </w:pPr>
    <w:rPr>
      <w:rFonts w:hAnsi="Calibri"/>
      <w:kern w:val="0"/>
      <w:szCs w:val="20"/>
    </w:rPr>
  </w:style>
  <w:style w:type="paragraph" w:customStyle="1" w:styleId="359">
    <w:name w:val="TOC Heading13"/>
    <w:next w:val="1"/>
    <w:qFormat/>
    <w:uiPriority w:val="0"/>
    <w:pPr>
      <w:wordWrap w:val="0"/>
    </w:pPr>
    <w:rPr>
      <w:rFonts w:ascii="Calibri" w:hAnsi="Calibri" w:eastAsia="宋体" w:cs="Times New Roman"/>
      <w:sz w:val="32"/>
      <w:lang w:val="en-US" w:eastAsia="zh-CN" w:bidi="ar-SA"/>
    </w:rPr>
  </w:style>
  <w:style w:type="paragraph" w:customStyle="1" w:styleId="360">
    <w:name w:val="toc 116"/>
    <w:next w:val="1"/>
    <w:qFormat/>
    <w:uiPriority w:val="0"/>
    <w:pPr>
      <w:wordWrap w:val="0"/>
      <w:jc w:val="both"/>
    </w:pPr>
    <w:rPr>
      <w:rFonts w:ascii="Calibri" w:hAnsi="Calibri" w:eastAsia="宋体" w:cs="Times New Roman"/>
      <w:sz w:val="21"/>
      <w:lang w:val="en-US" w:eastAsia="zh-CN" w:bidi="ar-SA"/>
    </w:rPr>
  </w:style>
  <w:style w:type="paragraph" w:customStyle="1" w:styleId="361">
    <w:name w:val="toc 72"/>
    <w:next w:val="1"/>
    <w:qFormat/>
    <w:uiPriority w:val="0"/>
    <w:pPr>
      <w:wordWrap w:val="0"/>
      <w:ind w:left="2550"/>
      <w:jc w:val="both"/>
    </w:pPr>
    <w:rPr>
      <w:rFonts w:ascii="Calibri" w:hAnsi="Calibri" w:eastAsia="宋体" w:cs="Times New Roman"/>
      <w:sz w:val="21"/>
      <w:lang w:val="en-US" w:eastAsia="zh-CN" w:bidi="ar-SA"/>
    </w:rPr>
  </w:style>
  <w:style w:type="paragraph" w:customStyle="1" w:styleId="362">
    <w:name w:val="x_msonormal"/>
    <w:basedOn w:val="1"/>
    <w:next w:val="312"/>
    <w:qFormat/>
    <w:uiPriority w:val="0"/>
    <w:pPr>
      <w:widowControl/>
      <w:spacing w:before="280" w:after="280"/>
    </w:pPr>
    <w:rPr>
      <w:rFonts w:ascii="PMingLiU" w:hAnsi="Calibri" w:eastAsia="PMingLiU"/>
      <w:kern w:val="0"/>
      <w:sz w:val="24"/>
      <w:szCs w:val="20"/>
    </w:rPr>
  </w:style>
  <w:style w:type="paragraph" w:customStyle="1" w:styleId="363">
    <w:name w:val="toc 310"/>
    <w:next w:val="1"/>
    <w:qFormat/>
    <w:uiPriority w:val="0"/>
    <w:pPr>
      <w:wordWrap w:val="0"/>
      <w:ind w:left="850"/>
      <w:jc w:val="both"/>
    </w:pPr>
    <w:rPr>
      <w:rFonts w:ascii="Calibri" w:hAnsi="Calibri" w:eastAsia="宋体" w:cs="Times New Roman"/>
      <w:sz w:val="21"/>
      <w:lang w:val="en-US" w:eastAsia="zh-CN" w:bidi="ar-SA"/>
    </w:rPr>
  </w:style>
  <w:style w:type="paragraph" w:customStyle="1" w:styleId="364">
    <w:name w:val="toc 83"/>
    <w:next w:val="1"/>
    <w:qFormat/>
    <w:uiPriority w:val="0"/>
    <w:pPr>
      <w:wordWrap w:val="0"/>
      <w:ind w:left="2975"/>
      <w:jc w:val="both"/>
    </w:pPr>
    <w:rPr>
      <w:rFonts w:ascii="Calibri" w:hAnsi="Calibri" w:eastAsia="宋体" w:cs="Times New Roman"/>
      <w:sz w:val="21"/>
      <w:lang w:val="en-US" w:eastAsia="zh-CN" w:bidi="ar-SA"/>
    </w:rPr>
  </w:style>
  <w:style w:type="paragraph" w:customStyle="1" w:styleId="365">
    <w:name w:val="TOC Heading17"/>
    <w:next w:val="1"/>
    <w:qFormat/>
    <w:uiPriority w:val="0"/>
    <w:pPr>
      <w:wordWrap w:val="0"/>
    </w:pPr>
    <w:rPr>
      <w:rFonts w:ascii="Calibri" w:hAnsi="Calibri" w:eastAsia="宋体" w:cs="Times New Roman"/>
      <w:sz w:val="32"/>
      <w:lang w:val="en-US" w:eastAsia="zh-CN" w:bidi="ar-SA"/>
    </w:rPr>
  </w:style>
  <w:style w:type="paragraph" w:customStyle="1" w:styleId="366">
    <w:name w:val="toc 911"/>
    <w:next w:val="1"/>
    <w:qFormat/>
    <w:uiPriority w:val="0"/>
    <w:pPr>
      <w:wordWrap w:val="0"/>
      <w:ind w:left="3400"/>
      <w:jc w:val="both"/>
    </w:pPr>
    <w:rPr>
      <w:rFonts w:ascii="Calibri" w:hAnsi="Calibri" w:eastAsia="宋体" w:cs="Times New Roman"/>
      <w:sz w:val="21"/>
      <w:lang w:val="en-US" w:eastAsia="zh-CN" w:bidi="ar-SA"/>
    </w:rPr>
  </w:style>
  <w:style w:type="paragraph" w:customStyle="1" w:styleId="367">
    <w:name w:val="toc 811"/>
    <w:next w:val="1"/>
    <w:qFormat/>
    <w:uiPriority w:val="0"/>
    <w:pPr>
      <w:wordWrap w:val="0"/>
      <w:ind w:left="2975"/>
      <w:jc w:val="both"/>
    </w:pPr>
    <w:rPr>
      <w:rFonts w:ascii="Calibri" w:hAnsi="Calibri" w:eastAsia="宋体" w:cs="Times New Roman"/>
      <w:sz w:val="21"/>
      <w:lang w:val="en-US" w:eastAsia="zh-CN" w:bidi="ar-SA"/>
    </w:rPr>
  </w:style>
  <w:style w:type="paragraph" w:customStyle="1" w:styleId="368">
    <w:name w:val="目录 31"/>
    <w:next w:val="1"/>
    <w:qFormat/>
    <w:uiPriority w:val="0"/>
    <w:pPr>
      <w:wordWrap w:val="0"/>
      <w:ind w:left="850"/>
      <w:jc w:val="both"/>
    </w:pPr>
    <w:rPr>
      <w:rFonts w:ascii="Calibri" w:hAnsi="Calibri" w:eastAsia="宋体" w:cs="Times New Roman"/>
      <w:sz w:val="21"/>
      <w:lang w:val="en-US" w:eastAsia="zh-CN" w:bidi="ar-SA"/>
    </w:rPr>
  </w:style>
  <w:style w:type="paragraph" w:customStyle="1" w:styleId="369">
    <w:name w:val="xl118"/>
    <w:basedOn w:val="1"/>
    <w:next w:val="243"/>
    <w:qFormat/>
    <w:uiPriority w:val="0"/>
    <w:pPr>
      <w:widowControl/>
      <w:shd w:val="clear" w:color="000000" w:fill="FFFFFF"/>
      <w:spacing w:before="280" w:after="280"/>
      <w:jc w:val="center"/>
    </w:pPr>
    <w:rPr>
      <w:rFonts w:ascii="宋体" w:hAnsi="Calibri"/>
      <w:b/>
      <w:kern w:val="0"/>
      <w:sz w:val="20"/>
      <w:szCs w:val="20"/>
    </w:rPr>
  </w:style>
  <w:style w:type="paragraph" w:customStyle="1" w:styleId="370">
    <w:name w:val="xl83"/>
    <w:basedOn w:val="1"/>
    <w:next w:val="298"/>
    <w:qFormat/>
    <w:uiPriority w:val="0"/>
    <w:pPr>
      <w:widowControl/>
      <w:shd w:val="clear" w:color="000000" w:fill="FFFFFF"/>
      <w:spacing w:before="280" w:after="280"/>
    </w:pPr>
    <w:rPr>
      <w:rFonts w:ascii="宋体" w:hAnsi="Calibri"/>
      <w:kern w:val="0"/>
      <w:sz w:val="20"/>
      <w:szCs w:val="20"/>
    </w:rPr>
  </w:style>
  <w:style w:type="paragraph" w:customStyle="1" w:styleId="371">
    <w:name w:val="xl103"/>
    <w:basedOn w:val="1"/>
    <w:next w:val="372"/>
    <w:qFormat/>
    <w:uiPriority w:val="0"/>
    <w:pPr>
      <w:widowControl/>
      <w:shd w:val="clear" w:color="000000" w:fill="FFFFFF"/>
      <w:spacing w:before="280" w:after="280"/>
    </w:pPr>
    <w:rPr>
      <w:rFonts w:ascii="宋体" w:hAnsi="Calibri"/>
      <w:kern w:val="0"/>
      <w:sz w:val="20"/>
      <w:szCs w:val="20"/>
    </w:rPr>
  </w:style>
  <w:style w:type="paragraph" w:customStyle="1" w:styleId="372">
    <w:name w:val="toc 111"/>
    <w:next w:val="1"/>
    <w:qFormat/>
    <w:uiPriority w:val="0"/>
    <w:pPr>
      <w:wordWrap w:val="0"/>
      <w:jc w:val="both"/>
    </w:pPr>
    <w:rPr>
      <w:rFonts w:ascii="Calibri" w:hAnsi="Calibri" w:eastAsia="宋体" w:cs="Times New Roman"/>
      <w:sz w:val="21"/>
      <w:lang w:val="en-US" w:eastAsia="zh-CN" w:bidi="ar-SA"/>
    </w:rPr>
  </w:style>
  <w:style w:type="paragraph" w:customStyle="1" w:styleId="373">
    <w:name w:val="xl68"/>
    <w:basedOn w:val="1"/>
    <w:next w:val="374"/>
    <w:qFormat/>
    <w:uiPriority w:val="0"/>
    <w:pPr>
      <w:widowControl/>
      <w:shd w:val="clear" w:color="000000" w:fill="FFFFFF"/>
      <w:spacing w:before="280" w:after="280"/>
    </w:pPr>
    <w:rPr>
      <w:rFonts w:ascii="宋体" w:hAnsi="Calibri"/>
      <w:b/>
      <w:kern w:val="0"/>
      <w:sz w:val="20"/>
      <w:szCs w:val="20"/>
    </w:rPr>
  </w:style>
  <w:style w:type="paragraph" w:customStyle="1" w:styleId="374">
    <w:name w:val="TOC Heading16"/>
    <w:next w:val="1"/>
    <w:qFormat/>
    <w:uiPriority w:val="0"/>
    <w:pPr>
      <w:wordWrap w:val="0"/>
    </w:pPr>
    <w:rPr>
      <w:rFonts w:ascii="Calibri" w:hAnsi="Calibri" w:eastAsia="宋体" w:cs="Times New Roman"/>
      <w:sz w:val="32"/>
      <w:lang w:val="en-US" w:eastAsia="zh-CN" w:bidi="ar-SA"/>
    </w:rPr>
  </w:style>
  <w:style w:type="paragraph" w:customStyle="1" w:styleId="375">
    <w:name w:val="toc 113"/>
    <w:next w:val="1"/>
    <w:qFormat/>
    <w:uiPriority w:val="0"/>
    <w:pPr>
      <w:wordWrap w:val="0"/>
      <w:jc w:val="both"/>
    </w:pPr>
    <w:rPr>
      <w:rFonts w:ascii="Calibri" w:hAnsi="Calibri" w:eastAsia="宋体" w:cs="Times New Roman"/>
      <w:sz w:val="21"/>
      <w:lang w:val="en-US" w:eastAsia="zh-CN" w:bidi="ar-SA"/>
    </w:rPr>
  </w:style>
  <w:style w:type="paragraph" w:customStyle="1" w:styleId="376">
    <w:name w:val="xl94"/>
    <w:basedOn w:val="1"/>
    <w:next w:val="267"/>
    <w:qFormat/>
    <w:uiPriority w:val="0"/>
    <w:pPr>
      <w:widowControl/>
      <w:shd w:val="clear" w:color="000000" w:fill="FFFFFF"/>
      <w:spacing w:before="280" w:after="280"/>
      <w:jc w:val="center"/>
    </w:pPr>
    <w:rPr>
      <w:rFonts w:ascii="宋体" w:hAnsi="Calibri"/>
      <w:kern w:val="0"/>
      <w:sz w:val="20"/>
      <w:szCs w:val="20"/>
    </w:rPr>
  </w:style>
  <w:style w:type="paragraph" w:customStyle="1" w:styleId="377">
    <w:name w:val="toc 53"/>
    <w:next w:val="1"/>
    <w:qFormat/>
    <w:uiPriority w:val="0"/>
    <w:pPr>
      <w:wordWrap w:val="0"/>
      <w:ind w:left="1700"/>
      <w:jc w:val="both"/>
    </w:pPr>
    <w:rPr>
      <w:rFonts w:ascii="Calibri" w:hAnsi="Calibri" w:eastAsia="宋体" w:cs="Times New Roman"/>
      <w:sz w:val="21"/>
      <w:lang w:val="en-US" w:eastAsia="zh-CN" w:bidi="ar-SA"/>
    </w:rPr>
  </w:style>
  <w:style w:type="paragraph" w:customStyle="1" w:styleId="378">
    <w:name w:val="xl92"/>
    <w:basedOn w:val="1"/>
    <w:next w:val="379"/>
    <w:qFormat/>
    <w:uiPriority w:val="0"/>
    <w:pPr>
      <w:widowControl/>
      <w:shd w:val="clear" w:color="000000" w:fill="FFFFFF"/>
      <w:spacing w:before="280" w:after="280"/>
    </w:pPr>
    <w:rPr>
      <w:rFonts w:ascii="宋体" w:hAnsi="Calibri"/>
      <w:kern w:val="0"/>
      <w:sz w:val="20"/>
      <w:szCs w:val="20"/>
    </w:rPr>
  </w:style>
  <w:style w:type="paragraph" w:customStyle="1" w:styleId="379">
    <w:name w:val="toc 913"/>
    <w:next w:val="1"/>
    <w:qFormat/>
    <w:uiPriority w:val="0"/>
    <w:pPr>
      <w:wordWrap w:val="0"/>
      <w:ind w:left="3400"/>
      <w:jc w:val="both"/>
    </w:pPr>
    <w:rPr>
      <w:rFonts w:ascii="Calibri" w:hAnsi="Calibri" w:eastAsia="宋体" w:cs="Times New Roman"/>
      <w:sz w:val="21"/>
      <w:lang w:val="en-US" w:eastAsia="zh-CN" w:bidi="ar-SA"/>
    </w:rPr>
  </w:style>
  <w:style w:type="paragraph" w:customStyle="1" w:styleId="380">
    <w:name w:val="toc 512"/>
    <w:next w:val="1"/>
    <w:qFormat/>
    <w:uiPriority w:val="0"/>
    <w:pPr>
      <w:wordWrap w:val="0"/>
      <w:ind w:left="1700"/>
      <w:jc w:val="both"/>
    </w:pPr>
    <w:rPr>
      <w:rFonts w:ascii="Calibri" w:hAnsi="Calibri" w:eastAsia="宋体" w:cs="Times New Roman"/>
      <w:sz w:val="21"/>
      <w:lang w:val="en-US" w:eastAsia="zh-CN" w:bidi="ar-SA"/>
    </w:rPr>
  </w:style>
  <w:style w:type="paragraph" w:customStyle="1" w:styleId="381">
    <w:name w:val="目录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82">
    <w:name w:val="正文表标题"/>
    <w:next w:val="1"/>
    <w:qFormat/>
    <w:uiPriority w:val="0"/>
    <w:pPr>
      <w:ind w:left="630"/>
      <w:jc w:val="center"/>
    </w:pPr>
    <w:rPr>
      <w:rFonts w:ascii="黑体" w:hAnsi="Calibri" w:eastAsia="黑体" w:cs="Times New Roman"/>
      <w:sz w:val="21"/>
      <w:lang w:val="en-US" w:eastAsia="zh-CN" w:bidi="ar-SA"/>
    </w:rPr>
  </w:style>
  <w:style w:type="paragraph" w:customStyle="1" w:styleId="383">
    <w:name w:val="toc 28"/>
    <w:next w:val="1"/>
    <w:qFormat/>
    <w:uiPriority w:val="0"/>
    <w:pPr>
      <w:wordWrap w:val="0"/>
      <w:ind w:left="425"/>
      <w:jc w:val="both"/>
    </w:pPr>
    <w:rPr>
      <w:rFonts w:ascii="Calibri" w:hAnsi="Calibri" w:eastAsia="宋体" w:cs="Times New Roman"/>
      <w:sz w:val="21"/>
      <w:lang w:val="en-US" w:eastAsia="zh-CN" w:bidi="ar-SA"/>
    </w:rPr>
  </w:style>
  <w:style w:type="paragraph" w:customStyle="1" w:styleId="384">
    <w:name w:val="toc 79"/>
    <w:next w:val="1"/>
    <w:qFormat/>
    <w:uiPriority w:val="0"/>
    <w:pPr>
      <w:wordWrap w:val="0"/>
      <w:ind w:left="2550"/>
      <w:jc w:val="both"/>
    </w:pPr>
    <w:rPr>
      <w:rFonts w:ascii="Calibri" w:hAnsi="Calibri" w:eastAsia="宋体" w:cs="Times New Roman"/>
      <w:sz w:val="21"/>
      <w:lang w:val="en-US" w:eastAsia="zh-CN" w:bidi="ar-SA"/>
    </w:rPr>
  </w:style>
  <w:style w:type="paragraph" w:customStyle="1" w:styleId="385">
    <w:name w:val="xl110"/>
    <w:basedOn w:val="1"/>
    <w:next w:val="341"/>
    <w:qFormat/>
    <w:uiPriority w:val="0"/>
    <w:pPr>
      <w:widowControl/>
      <w:shd w:val="clear" w:color="000000" w:fill="FFFFFF"/>
      <w:spacing w:before="280" w:after="280"/>
      <w:jc w:val="center"/>
    </w:pPr>
    <w:rPr>
      <w:rFonts w:ascii="宋体" w:hAnsi="Calibri"/>
      <w:kern w:val="0"/>
      <w:sz w:val="20"/>
      <w:szCs w:val="20"/>
    </w:rPr>
  </w:style>
  <w:style w:type="paragraph" w:customStyle="1" w:styleId="386">
    <w:name w:val="toc 511"/>
    <w:next w:val="1"/>
    <w:qFormat/>
    <w:uiPriority w:val="0"/>
    <w:pPr>
      <w:wordWrap w:val="0"/>
      <w:ind w:left="1700"/>
      <w:jc w:val="both"/>
    </w:pPr>
    <w:rPr>
      <w:rFonts w:ascii="Calibri" w:hAnsi="Calibri" w:eastAsia="宋体" w:cs="Times New Roman"/>
      <w:sz w:val="21"/>
      <w:lang w:val="en-US" w:eastAsia="zh-CN" w:bidi="ar-SA"/>
    </w:rPr>
  </w:style>
  <w:style w:type="paragraph" w:customStyle="1" w:styleId="387">
    <w:name w:val="toc 416"/>
    <w:next w:val="1"/>
    <w:qFormat/>
    <w:uiPriority w:val="0"/>
    <w:pPr>
      <w:wordWrap w:val="0"/>
      <w:ind w:left="1275"/>
      <w:jc w:val="both"/>
    </w:pPr>
    <w:rPr>
      <w:rFonts w:ascii="Calibri" w:hAnsi="Calibri" w:eastAsia="宋体" w:cs="Times New Roman"/>
      <w:sz w:val="21"/>
      <w:lang w:val="en-US" w:eastAsia="zh-CN" w:bidi="ar-SA"/>
    </w:rPr>
  </w:style>
  <w:style w:type="paragraph" w:customStyle="1" w:styleId="388">
    <w:name w:val="xl85"/>
    <w:basedOn w:val="1"/>
    <w:next w:val="389"/>
    <w:qFormat/>
    <w:uiPriority w:val="0"/>
    <w:pPr>
      <w:widowControl/>
      <w:shd w:val="clear" w:color="000000" w:fill="FFFFFF"/>
      <w:spacing w:before="280" w:after="280"/>
      <w:jc w:val="center"/>
    </w:pPr>
    <w:rPr>
      <w:rFonts w:ascii="宋体" w:hAnsi="Calibri"/>
      <w:kern w:val="0"/>
      <w:sz w:val="20"/>
      <w:szCs w:val="20"/>
    </w:rPr>
  </w:style>
  <w:style w:type="paragraph" w:customStyle="1" w:styleId="389">
    <w:name w:val="toc 76"/>
    <w:next w:val="1"/>
    <w:qFormat/>
    <w:uiPriority w:val="0"/>
    <w:pPr>
      <w:wordWrap w:val="0"/>
      <w:ind w:left="2550"/>
      <w:jc w:val="both"/>
    </w:pPr>
    <w:rPr>
      <w:rFonts w:ascii="Calibri" w:hAnsi="Calibri" w:eastAsia="宋体" w:cs="Times New Roman"/>
      <w:sz w:val="21"/>
      <w:lang w:val="en-US" w:eastAsia="zh-CN" w:bidi="ar-SA"/>
    </w:rPr>
  </w:style>
  <w:style w:type="paragraph" w:customStyle="1" w:styleId="390">
    <w:name w:val="toc 27"/>
    <w:next w:val="1"/>
    <w:qFormat/>
    <w:uiPriority w:val="0"/>
    <w:pPr>
      <w:wordWrap w:val="0"/>
      <w:ind w:left="425"/>
      <w:jc w:val="both"/>
    </w:pPr>
    <w:rPr>
      <w:rFonts w:ascii="Calibri" w:hAnsi="Calibri" w:eastAsia="宋体" w:cs="Times New Roman"/>
      <w:sz w:val="21"/>
      <w:lang w:val="en-US" w:eastAsia="zh-CN" w:bidi="ar-SA"/>
    </w:rPr>
  </w:style>
  <w:style w:type="paragraph" w:customStyle="1" w:styleId="391">
    <w:name w:val="toc 916"/>
    <w:next w:val="1"/>
    <w:qFormat/>
    <w:uiPriority w:val="0"/>
    <w:pPr>
      <w:wordWrap w:val="0"/>
      <w:ind w:left="3400"/>
      <w:jc w:val="both"/>
    </w:pPr>
    <w:rPr>
      <w:rFonts w:ascii="Calibri" w:hAnsi="Calibri" w:eastAsia="宋体" w:cs="Times New Roman"/>
      <w:sz w:val="21"/>
      <w:lang w:val="en-US" w:eastAsia="zh-CN" w:bidi="ar-SA"/>
    </w:rPr>
  </w:style>
  <w:style w:type="paragraph" w:customStyle="1" w:styleId="392">
    <w:name w:val="toc 77"/>
    <w:next w:val="1"/>
    <w:qFormat/>
    <w:uiPriority w:val="0"/>
    <w:pPr>
      <w:wordWrap w:val="0"/>
      <w:ind w:left="2550"/>
      <w:jc w:val="both"/>
    </w:pPr>
    <w:rPr>
      <w:rFonts w:ascii="Calibri" w:hAnsi="Calibri" w:eastAsia="宋体" w:cs="Times New Roman"/>
      <w:sz w:val="21"/>
      <w:lang w:val="en-US" w:eastAsia="zh-CN" w:bidi="ar-SA"/>
    </w:rPr>
  </w:style>
  <w:style w:type="paragraph" w:customStyle="1" w:styleId="393">
    <w:name w:val="toc 211"/>
    <w:next w:val="1"/>
    <w:qFormat/>
    <w:uiPriority w:val="0"/>
    <w:pPr>
      <w:wordWrap w:val="0"/>
      <w:ind w:left="425"/>
      <w:jc w:val="both"/>
    </w:pPr>
    <w:rPr>
      <w:rFonts w:ascii="Calibri" w:hAnsi="Calibri" w:eastAsia="宋体" w:cs="Times New Roman"/>
      <w:sz w:val="21"/>
      <w:lang w:val="en-US" w:eastAsia="zh-CN" w:bidi="ar-SA"/>
    </w:rPr>
  </w:style>
  <w:style w:type="paragraph" w:customStyle="1" w:styleId="394">
    <w:name w:val="toc 815"/>
    <w:next w:val="1"/>
    <w:qFormat/>
    <w:uiPriority w:val="0"/>
    <w:pPr>
      <w:wordWrap w:val="0"/>
      <w:ind w:left="2975"/>
      <w:jc w:val="both"/>
    </w:pPr>
    <w:rPr>
      <w:rFonts w:ascii="Calibri" w:hAnsi="Calibri" w:eastAsia="宋体" w:cs="Times New Roman"/>
      <w:sz w:val="21"/>
      <w:lang w:val="en-US" w:eastAsia="zh-CN" w:bidi="ar-SA"/>
    </w:rPr>
  </w:style>
  <w:style w:type="paragraph" w:customStyle="1" w:styleId="395">
    <w:name w:val="xl99"/>
    <w:basedOn w:val="1"/>
    <w:next w:val="380"/>
    <w:qFormat/>
    <w:uiPriority w:val="0"/>
    <w:pPr>
      <w:widowControl/>
      <w:shd w:val="clear" w:color="000000" w:fill="FFFFFF"/>
      <w:spacing w:before="280" w:after="280"/>
    </w:pPr>
    <w:rPr>
      <w:rFonts w:ascii="宋体" w:hAnsi="Calibri"/>
      <w:kern w:val="0"/>
      <w:sz w:val="18"/>
      <w:szCs w:val="20"/>
    </w:rPr>
  </w:style>
  <w:style w:type="paragraph" w:customStyle="1" w:styleId="396">
    <w:name w:val="xl97"/>
    <w:basedOn w:val="1"/>
    <w:next w:val="268"/>
    <w:qFormat/>
    <w:uiPriority w:val="0"/>
    <w:pPr>
      <w:widowControl/>
      <w:shd w:val="clear" w:color="000000" w:fill="FFFFFF"/>
      <w:spacing w:before="280" w:after="280"/>
      <w:jc w:val="center"/>
    </w:pPr>
    <w:rPr>
      <w:rFonts w:ascii="宋体" w:hAnsi="Calibri"/>
      <w:kern w:val="0"/>
      <w:sz w:val="20"/>
      <w:szCs w:val="20"/>
    </w:rPr>
  </w:style>
  <w:style w:type="paragraph" w:customStyle="1" w:styleId="397">
    <w:name w:val="toc 612"/>
    <w:next w:val="1"/>
    <w:qFormat/>
    <w:uiPriority w:val="0"/>
    <w:pPr>
      <w:wordWrap w:val="0"/>
      <w:ind w:left="2125"/>
      <w:jc w:val="both"/>
    </w:pPr>
    <w:rPr>
      <w:rFonts w:ascii="Calibri" w:hAnsi="Calibri" w:eastAsia="宋体" w:cs="Times New Roman"/>
      <w:sz w:val="21"/>
      <w:lang w:val="en-US" w:eastAsia="zh-CN" w:bidi="ar-SA"/>
    </w:rPr>
  </w:style>
  <w:style w:type="paragraph" w:customStyle="1" w:styleId="398">
    <w:name w:val="toc 315"/>
    <w:next w:val="1"/>
    <w:qFormat/>
    <w:uiPriority w:val="0"/>
    <w:pPr>
      <w:wordWrap w:val="0"/>
      <w:ind w:left="850"/>
      <w:jc w:val="both"/>
    </w:pPr>
    <w:rPr>
      <w:rFonts w:ascii="Calibri" w:hAnsi="Calibri" w:eastAsia="宋体" w:cs="Times New Roman"/>
      <w:sz w:val="21"/>
      <w:lang w:val="en-US" w:eastAsia="zh-CN" w:bidi="ar-SA"/>
    </w:rPr>
  </w:style>
  <w:style w:type="paragraph" w:customStyle="1" w:styleId="399">
    <w:name w:val="TOC Heading15"/>
    <w:next w:val="1"/>
    <w:qFormat/>
    <w:uiPriority w:val="0"/>
    <w:pPr>
      <w:wordWrap w:val="0"/>
    </w:pPr>
    <w:rPr>
      <w:rFonts w:ascii="Calibri" w:hAnsi="Calibri" w:eastAsia="宋体" w:cs="Times New Roman"/>
      <w:sz w:val="32"/>
      <w:lang w:val="en-US" w:eastAsia="zh-CN" w:bidi="ar-SA"/>
    </w:rPr>
  </w:style>
  <w:style w:type="paragraph" w:customStyle="1" w:styleId="400">
    <w:name w:val="toc 915"/>
    <w:next w:val="1"/>
    <w:qFormat/>
    <w:uiPriority w:val="0"/>
    <w:pPr>
      <w:wordWrap w:val="0"/>
      <w:ind w:left="3400"/>
      <w:jc w:val="both"/>
    </w:pPr>
    <w:rPr>
      <w:rFonts w:ascii="Calibri" w:hAnsi="Calibri" w:eastAsia="宋体" w:cs="Times New Roman"/>
      <w:sz w:val="21"/>
      <w:lang w:val="en-US" w:eastAsia="zh-CN" w:bidi="ar-SA"/>
    </w:rPr>
  </w:style>
  <w:style w:type="paragraph" w:customStyle="1" w:styleId="401">
    <w:name w:val="toc 39"/>
    <w:next w:val="1"/>
    <w:qFormat/>
    <w:uiPriority w:val="0"/>
    <w:pPr>
      <w:wordWrap w:val="0"/>
      <w:ind w:left="850"/>
      <w:jc w:val="both"/>
    </w:pPr>
    <w:rPr>
      <w:rFonts w:ascii="Calibri" w:hAnsi="Calibri" w:eastAsia="宋体" w:cs="Times New Roman"/>
      <w:sz w:val="21"/>
      <w:lang w:val="en-US" w:eastAsia="zh-CN" w:bidi="ar-SA"/>
    </w:rPr>
  </w:style>
  <w:style w:type="paragraph" w:customStyle="1" w:styleId="402">
    <w:name w:val="toc 710"/>
    <w:next w:val="1"/>
    <w:qFormat/>
    <w:uiPriority w:val="0"/>
    <w:pPr>
      <w:wordWrap w:val="0"/>
      <w:ind w:left="2550"/>
      <w:jc w:val="both"/>
    </w:pPr>
    <w:rPr>
      <w:rFonts w:ascii="Calibri" w:hAnsi="Calibri" w:eastAsia="宋体" w:cs="Times New Roman"/>
      <w:sz w:val="21"/>
      <w:lang w:val="en-US" w:eastAsia="zh-CN" w:bidi="ar-SA"/>
    </w:rPr>
  </w:style>
  <w:style w:type="paragraph" w:customStyle="1" w:styleId="403">
    <w:name w:val="toc 12"/>
    <w:next w:val="1"/>
    <w:qFormat/>
    <w:uiPriority w:val="0"/>
    <w:pPr>
      <w:wordWrap w:val="0"/>
      <w:jc w:val="both"/>
    </w:pPr>
    <w:rPr>
      <w:rFonts w:ascii="Calibri" w:hAnsi="Calibri" w:eastAsia="宋体" w:cs="Times New Roman"/>
      <w:sz w:val="21"/>
      <w:lang w:val="en-US" w:eastAsia="zh-CN" w:bidi="ar-SA"/>
    </w:rPr>
  </w:style>
  <w:style w:type="paragraph" w:customStyle="1" w:styleId="404">
    <w:name w:val="xl95"/>
    <w:basedOn w:val="1"/>
    <w:next w:val="405"/>
    <w:qFormat/>
    <w:uiPriority w:val="0"/>
    <w:pPr>
      <w:widowControl/>
      <w:shd w:val="clear" w:color="000000" w:fill="FFFFFF"/>
      <w:spacing w:before="280" w:after="280"/>
    </w:pPr>
    <w:rPr>
      <w:rFonts w:ascii="宋体" w:hAnsi="Calibri"/>
      <w:kern w:val="0"/>
      <w:sz w:val="20"/>
      <w:szCs w:val="20"/>
    </w:rPr>
  </w:style>
  <w:style w:type="paragraph" w:customStyle="1" w:styleId="405">
    <w:name w:val="toc 415"/>
    <w:next w:val="1"/>
    <w:qFormat/>
    <w:uiPriority w:val="0"/>
    <w:pPr>
      <w:wordWrap w:val="0"/>
      <w:ind w:left="1275"/>
      <w:jc w:val="both"/>
    </w:pPr>
    <w:rPr>
      <w:rFonts w:ascii="Calibri" w:hAnsi="Calibri" w:eastAsia="宋体" w:cs="Times New Roman"/>
      <w:sz w:val="21"/>
      <w:lang w:val="en-US" w:eastAsia="zh-CN" w:bidi="ar-SA"/>
    </w:rPr>
  </w:style>
  <w:style w:type="paragraph" w:customStyle="1" w:styleId="406">
    <w:name w:val="toc 29"/>
    <w:next w:val="1"/>
    <w:qFormat/>
    <w:uiPriority w:val="0"/>
    <w:pPr>
      <w:wordWrap w:val="0"/>
      <w:ind w:left="425"/>
      <w:jc w:val="both"/>
    </w:pPr>
    <w:rPr>
      <w:rFonts w:ascii="Calibri" w:hAnsi="Calibri" w:eastAsia="宋体" w:cs="Times New Roman"/>
      <w:sz w:val="21"/>
      <w:lang w:val="en-US" w:eastAsia="zh-CN" w:bidi="ar-SA"/>
    </w:rPr>
  </w:style>
  <w:style w:type="paragraph" w:customStyle="1" w:styleId="407">
    <w:name w:val="xl67"/>
    <w:basedOn w:val="1"/>
    <w:next w:val="408"/>
    <w:qFormat/>
    <w:uiPriority w:val="0"/>
    <w:pPr>
      <w:widowControl/>
      <w:shd w:val="clear" w:color="000000" w:fill="FFFFFF"/>
      <w:spacing w:before="280" w:after="280"/>
      <w:jc w:val="center"/>
    </w:pPr>
    <w:rPr>
      <w:rFonts w:ascii="宋体" w:hAnsi="Calibri"/>
      <w:b/>
      <w:kern w:val="0"/>
      <w:sz w:val="20"/>
      <w:szCs w:val="20"/>
    </w:rPr>
  </w:style>
  <w:style w:type="paragraph" w:customStyle="1" w:styleId="408">
    <w:name w:val="toc 714"/>
    <w:next w:val="1"/>
    <w:qFormat/>
    <w:uiPriority w:val="0"/>
    <w:pPr>
      <w:wordWrap w:val="0"/>
      <w:ind w:left="2550"/>
      <w:jc w:val="both"/>
    </w:pPr>
    <w:rPr>
      <w:rFonts w:ascii="Calibri" w:hAnsi="Calibri" w:eastAsia="宋体" w:cs="Times New Roman"/>
      <w:sz w:val="21"/>
      <w:lang w:val="en-US" w:eastAsia="zh-CN" w:bidi="ar-SA"/>
    </w:rPr>
  </w:style>
  <w:style w:type="paragraph" w:customStyle="1" w:styleId="409">
    <w:name w:val="toc 21"/>
    <w:next w:val="1"/>
    <w:qFormat/>
    <w:uiPriority w:val="0"/>
    <w:pPr>
      <w:wordWrap w:val="0"/>
      <w:ind w:left="425"/>
      <w:jc w:val="both"/>
    </w:pPr>
    <w:rPr>
      <w:rFonts w:ascii="Calibri" w:hAnsi="Calibri" w:eastAsia="宋体" w:cs="Times New Roman"/>
      <w:sz w:val="21"/>
      <w:lang w:val="en-US" w:eastAsia="zh-CN" w:bidi="ar-SA"/>
    </w:rPr>
  </w:style>
  <w:style w:type="paragraph" w:customStyle="1" w:styleId="410">
    <w:name w:val="正文 A"/>
    <w:next w:val="327"/>
    <w:qFormat/>
    <w:uiPriority w:val="0"/>
    <w:rPr>
      <w:rFonts w:ascii="Arial" w:hAnsi="Calibri" w:eastAsia="Arial Unicode MS" w:cs="Times New Roman"/>
      <w:color w:val="000000"/>
      <w:sz w:val="21"/>
      <w:lang w:val="en-US" w:eastAsia="zh-CN" w:bidi="ar-SA"/>
    </w:rPr>
  </w:style>
  <w:style w:type="paragraph" w:customStyle="1" w:styleId="411">
    <w:name w:val="toc 68"/>
    <w:next w:val="1"/>
    <w:qFormat/>
    <w:uiPriority w:val="0"/>
    <w:pPr>
      <w:wordWrap w:val="0"/>
      <w:ind w:left="2125"/>
      <w:jc w:val="both"/>
    </w:pPr>
    <w:rPr>
      <w:rFonts w:ascii="Calibri" w:hAnsi="Calibri" w:eastAsia="宋体" w:cs="Times New Roman"/>
      <w:sz w:val="21"/>
      <w:lang w:val="en-US" w:eastAsia="zh-CN" w:bidi="ar-SA"/>
    </w:rPr>
  </w:style>
  <w:style w:type="paragraph" w:customStyle="1" w:styleId="412">
    <w:name w:val="toc 58"/>
    <w:next w:val="1"/>
    <w:qFormat/>
    <w:uiPriority w:val="0"/>
    <w:pPr>
      <w:wordWrap w:val="0"/>
      <w:ind w:left="1700"/>
      <w:jc w:val="both"/>
    </w:pPr>
    <w:rPr>
      <w:rFonts w:ascii="Calibri" w:hAnsi="Calibri" w:eastAsia="宋体" w:cs="Times New Roman"/>
      <w:sz w:val="21"/>
      <w:lang w:val="en-US" w:eastAsia="zh-CN" w:bidi="ar-SA"/>
    </w:rPr>
  </w:style>
  <w:style w:type="paragraph" w:customStyle="1" w:styleId="413">
    <w:name w:val="xl88"/>
    <w:basedOn w:val="1"/>
    <w:next w:val="399"/>
    <w:qFormat/>
    <w:uiPriority w:val="0"/>
    <w:pPr>
      <w:widowControl/>
      <w:shd w:val="clear" w:color="000000" w:fill="FFFFFF"/>
      <w:spacing w:before="280" w:after="280"/>
      <w:jc w:val="center"/>
    </w:pPr>
    <w:rPr>
      <w:rFonts w:ascii="宋体" w:hAnsi="Calibri"/>
      <w:kern w:val="0"/>
      <w:sz w:val="20"/>
      <w:szCs w:val="20"/>
    </w:rPr>
  </w:style>
  <w:style w:type="paragraph" w:customStyle="1" w:styleId="414">
    <w:name w:val="toc 71"/>
    <w:next w:val="1"/>
    <w:qFormat/>
    <w:uiPriority w:val="0"/>
    <w:pPr>
      <w:wordWrap w:val="0"/>
      <w:ind w:left="2550"/>
      <w:jc w:val="both"/>
    </w:pPr>
    <w:rPr>
      <w:rFonts w:ascii="Calibri" w:hAnsi="Calibri" w:eastAsia="宋体" w:cs="Times New Roman"/>
      <w:sz w:val="21"/>
      <w:lang w:val="en-US" w:eastAsia="zh-CN" w:bidi="ar-SA"/>
    </w:rPr>
  </w:style>
  <w:style w:type="paragraph" w:customStyle="1" w:styleId="415">
    <w:name w:val="xl100"/>
    <w:basedOn w:val="1"/>
    <w:next w:val="416"/>
    <w:qFormat/>
    <w:uiPriority w:val="0"/>
    <w:pPr>
      <w:widowControl/>
      <w:shd w:val="clear" w:color="000000" w:fill="FFFFFF"/>
      <w:spacing w:before="280" w:after="280"/>
    </w:pPr>
    <w:rPr>
      <w:rFonts w:ascii="宋体" w:hAnsi="Calibri"/>
      <w:kern w:val="0"/>
      <w:sz w:val="20"/>
      <w:szCs w:val="20"/>
    </w:rPr>
  </w:style>
  <w:style w:type="paragraph" w:customStyle="1" w:styleId="416">
    <w:name w:val="toc 510"/>
    <w:next w:val="1"/>
    <w:qFormat/>
    <w:uiPriority w:val="0"/>
    <w:pPr>
      <w:wordWrap w:val="0"/>
      <w:ind w:left="1700"/>
      <w:jc w:val="both"/>
    </w:pPr>
    <w:rPr>
      <w:rFonts w:ascii="Calibri" w:hAnsi="Calibri" w:eastAsia="宋体" w:cs="Times New Roman"/>
      <w:sz w:val="21"/>
      <w:lang w:val="en-US" w:eastAsia="zh-CN" w:bidi="ar-SA"/>
    </w:rPr>
  </w:style>
  <w:style w:type="paragraph" w:customStyle="1" w:styleId="417">
    <w:name w:val="toc 314"/>
    <w:next w:val="1"/>
    <w:qFormat/>
    <w:uiPriority w:val="0"/>
    <w:pPr>
      <w:wordWrap w:val="0"/>
      <w:ind w:left="850"/>
      <w:jc w:val="both"/>
    </w:pPr>
    <w:rPr>
      <w:rFonts w:ascii="Calibri" w:hAnsi="Calibri" w:eastAsia="宋体" w:cs="Times New Roman"/>
      <w:sz w:val="21"/>
      <w:lang w:val="en-US" w:eastAsia="zh-CN" w:bidi="ar-SA"/>
    </w:rPr>
  </w:style>
  <w:style w:type="paragraph" w:customStyle="1" w:styleId="418">
    <w:name w:val="xl114"/>
    <w:basedOn w:val="1"/>
    <w:next w:val="270"/>
    <w:qFormat/>
    <w:uiPriority w:val="0"/>
    <w:pPr>
      <w:widowControl/>
      <w:shd w:val="clear" w:color="000000" w:fill="FFFFFF"/>
      <w:spacing w:before="280" w:after="280"/>
      <w:jc w:val="center"/>
    </w:pPr>
    <w:rPr>
      <w:rFonts w:ascii="宋体" w:hAnsi="Calibri"/>
      <w:b/>
      <w:kern w:val="0"/>
      <w:sz w:val="20"/>
      <w:szCs w:val="20"/>
    </w:rPr>
  </w:style>
  <w:style w:type="paragraph" w:customStyle="1" w:styleId="419">
    <w:name w:val="xl107"/>
    <w:basedOn w:val="1"/>
    <w:next w:val="420"/>
    <w:qFormat/>
    <w:uiPriority w:val="0"/>
    <w:pPr>
      <w:widowControl/>
      <w:shd w:val="clear" w:color="000000" w:fill="FFFFFF"/>
      <w:spacing w:before="280" w:after="280"/>
    </w:pPr>
    <w:rPr>
      <w:rFonts w:ascii="宋体" w:hAnsi="Calibri"/>
      <w:kern w:val="0"/>
      <w:sz w:val="20"/>
      <w:szCs w:val="20"/>
    </w:rPr>
  </w:style>
  <w:style w:type="paragraph" w:customStyle="1" w:styleId="420">
    <w:name w:val="toc 610"/>
    <w:next w:val="1"/>
    <w:qFormat/>
    <w:uiPriority w:val="0"/>
    <w:pPr>
      <w:wordWrap w:val="0"/>
      <w:ind w:left="2125"/>
      <w:jc w:val="both"/>
    </w:pPr>
    <w:rPr>
      <w:rFonts w:ascii="Calibri" w:hAnsi="Calibri" w:eastAsia="宋体" w:cs="Times New Roman"/>
      <w:sz w:val="21"/>
      <w:lang w:val="en-US" w:eastAsia="zh-CN" w:bidi="ar-SA"/>
    </w:rPr>
  </w:style>
  <w:style w:type="paragraph" w:customStyle="1" w:styleId="421">
    <w:name w:val="toc 22"/>
    <w:next w:val="1"/>
    <w:qFormat/>
    <w:uiPriority w:val="0"/>
    <w:pPr>
      <w:wordWrap w:val="0"/>
      <w:ind w:left="425"/>
      <w:jc w:val="both"/>
    </w:pPr>
    <w:rPr>
      <w:rFonts w:ascii="Calibri" w:hAnsi="Calibri" w:eastAsia="宋体" w:cs="Times New Roman"/>
      <w:sz w:val="21"/>
      <w:lang w:val="en-US" w:eastAsia="zh-CN" w:bidi="ar-SA"/>
    </w:rPr>
  </w:style>
  <w:style w:type="paragraph" w:customStyle="1" w:styleId="422">
    <w:name w:val="xl90"/>
    <w:basedOn w:val="1"/>
    <w:next w:val="224"/>
    <w:qFormat/>
    <w:uiPriority w:val="0"/>
    <w:pPr>
      <w:widowControl/>
      <w:shd w:val="clear" w:color="000000" w:fill="FFFFFF"/>
      <w:spacing w:before="280" w:after="280"/>
    </w:pPr>
    <w:rPr>
      <w:rFonts w:ascii="宋体" w:hAnsi="Calibri"/>
      <w:kern w:val="0"/>
      <w:sz w:val="18"/>
      <w:szCs w:val="20"/>
    </w:rPr>
  </w:style>
  <w:style w:type="paragraph" w:customStyle="1" w:styleId="423">
    <w:name w:val="toc 616"/>
    <w:next w:val="1"/>
    <w:qFormat/>
    <w:uiPriority w:val="0"/>
    <w:pPr>
      <w:wordWrap w:val="0"/>
      <w:ind w:left="2125"/>
      <w:jc w:val="both"/>
    </w:pPr>
    <w:rPr>
      <w:rFonts w:ascii="Calibri" w:hAnsi="Calibri" w:eastAsia="宋体" w:cs="Times New Roman"/>
      <w:sz w:val="21"/>
      <w:lang w:val="en-US" w:eastAsia="zh-CN" w:bidi="ar-SA"/>
    </w:rPr>
  </w:style>
  <w:style w:type="paragraph" w:customStyle="1" w:styleId="424">
    <w:name w:val="toc 96"/>
    <w:next w:val="1"/>
    <w:qFormat/>
    <w:uiPriority w:val="0"/>
    <w:pPr>
      <w:wordWrap w:val="0"/>
      <w:ind w:left="3400"/>
      <w:jc w:val="both"/>
    </w:pPr>
    <w:rPr>
      <w:rFonts w:ascii="Calibri" w:hAnsi="Calibri" w:eastAsia="宋体" w:cs="Times New Roman"/>
      <w:sz w:val="21"/>
      <w:lang w:val="en-US" w:eastAsia="zh-CN" w:bidi="ar-SA"/>
    </w:rPr>
  </w:style>
  <w:style w:type="paragraph" w:customStyle="1" w:styleId="425">
    <w:name w:val="toc 42"/>
    <w:next w:val="1"/>
    <w:qFormat/>
    <w:uiPriority w:val="0"/>
    <w:pPr>
      <w:wordWrap w:val="0"/>
      <w:ind w:left="1275"/>
      <w:jc w:val="both"/>
    </w:pPr>
    <w:rPr>
      <w:rFonts w:ascii="Calibri" w:hAnsi="Calibri" w:eastAsia="宋体" w:cs="Times New Roman"/>
      <w:sz w:val="21"/>
      <w:lang w:val="en-US" w:eastAsia="zh-CN" w:bidi="ar-SA"/>
    </w:rPr>
  </w:style>
  <w:style w:type="paragraph" w:customStyle="1" w:styleId="426">
    <w:name w:val="xl117"/>
    <w:basedOn w:val="1"/>
    <w:next w:val="323"/>
    <w:qFormat/>
    <w:uiPriority w:val="0"/>
    <w:pPr>
      <w:widowControl/>
      <w:shd w:val="clear" w:color="000000" w:fill="FFFFFF"/>
      <w:spacing w:before="280" w:after="280"/>
      <w:jc w:val="center"/>
    </w:pPr>
    <w:rPr>
      <w:rFonts w:ascii="Arial Narrow" w:hAnsi="Calibri"/>
      <w:kern w:val="0"/>
      <w:sz w:val="24"/>
      <w:szCs w:val="20"/>
    </w:rPr>
  </w:style>
  <w:style w:type="paragraph" w:customStyle="1" w:styleId="427">
    <w:name w:val="p15"/>
    <w:basedOn w:val="1"/>
    <w:next w:val="248"/>
    <w:qFormat/>
    <w:uiPriority w:val="0"/>
    <w:pPr>
      <w:widowControl/>
      <w:ind w:firstLine="420"/>
    </w:pPr>
    <w:rPr>
      <w:rFonts w:hAnsi="Calibri"/>
      <w:kern w:val="0"/>
      <w:szCs w:val="20"/>
    </w:rPr>
  </w:style>
  <w:style w:type="paragraph" w:customStyle="1" w:styleId="428">
    <w:name w:val="xl87"/>
    <w:basedOn w:val="1"/>
    <w:next w:val="429"/>
    <w:qFormat/>
    <w:uiPriority w:val="0"/>
    <w:pPr>
      <w:widowControl/>
      <w:shd w:val="clear" w:color="000000" w:fill="FFFFFF"/>
      <w:spacing w:before="280" w:after="280"/>
    </w:pPr>
    <w:rPr>
      <w:rFonts w:ascii="Arial" w:hAnsi="Calibri"/>
      <w:kern w:val="0"/>
      <w:sz w:val="18"/>
      <w:szCs w:val="20"/>
    </w:rPr>
  </w:style>
  <w:style w:type="paragraph" w:customStyle="1" w:styleId="429">
    <w:name w:val="toc 98"/>
    <w:next w:val="1"/>
    <w:qFormat/>
    <w:uiPriority w:val="0"/>
    <w:pPr>
      <w:wordWrap w:val="0"/>
      <w:ind w:left="3400"/>
      <w:jc w:val="both"/>
    </w:pPr>
    <w:rPr>
      <w:rFonts w:ascii="Calibri" w:hAnsi="Calibri" w:eastAsia="宋体" w:cs="Times New Roman"/>
      <w:sz w:val="21"/>
      <w:lang w:val="en-US" w:eastAsia="zh-CN" w:bidi="ar-SA"/>
    </w:rPr>
  </w:style>
  <w:style w:type="paragraph" w:customStyle="1" w:styleId="430">
    <w:name w:val="列出段落7"/>
    <w:basedOn w:val="1"/>
    <w:next w:val="412"/>
    <w:qFormat/>
    <w:uiPriority w:val="0"/>
    <w:pPr>
      <w:ind w:firstLine="420"/>
    </w:pPr>
    <w:rPr>
      <w:rFonts w:hAnsi="Calibri"/>
      <w:kern w:val="0"/>
      <w:szCs w:val="20"/>
    </w:rPr>
  </w:style>
  <w:style w:type="paragraph" w:customStyle="1" w:styleId="431">
    <w:name w:val="xl78"/>
    <w:basedOn w:val="1"/>
    <w:next w:val="402"/>
    <w:qFormat/>
    <w:uiPriority w:val="0"/>
    <w:pPr>
      <w:widowControl/>
      <w:shd w:val="clear" w:color="000000" w:fill="FFFFFF"/>
      <w:spacing w:before="280" w:after="280"/>
    </w:pPr>
    <w:rPr>
      <w:rFonts w:ascii="宋体" w:hAnsi="Calibri"/>
      <w:b/>
      <w:kern w:val="0"/>
      <w:sz w:val="20"/>
      <w:szCs w:val="20"/>
    </w:rPr>
  </w:style>
  <w:style w:type="paragraph" w:customStyle="1" w:styleId="432">
    <w:name w:val="toc 516"/>
    <w:next w:val="1"/>
    <w:qFormat/>
    <w:uiPriority w:val="0"/>
    <w:pPr>
      <w:wordWrap w:val="0"/>
      <w:ind w:left="1700"/>
      <w:jc w:val="both"/>
    </w:pPr>
    <w:rPr>
      <w:rFonts w:ascii="Calibri" w:hAnsi="Calibri" w:eastAsia="宋体" w:cs="Times New Roman"/>
      <w:sz w:val="21"/>
      <w:lang w:val="en-US" w:eastAsia="zh-CN" w:bidi="ar-SA"/>
    </w:rPr>
  </w:style>
  <w:style w:type="paragraph" w:customStyle="1" w:styleId="433">
    <w:name w:val="xl89"/>
    <w:basedOn w:val="1"/>
    <w:next w:val="367"/>
    <w:qFormat/>
    <w:uiPriority w:val="0"/>
    <w:pPr>
      <w:widowControl/>
      <w:shd w:val="clear" w:color="000000" w:fill="FFFFFF"/>
      <w:spacing w:before="280" w:after="280"/>
    </w:pPr>
    <w:rPr>
      <w:rFonts w:ascii="宋体" w:hAnsi="Calibri"/>
      <w:kern w:val="0"/>
      <w:sz w:val="20"/>
      <w:szCs w:val="20"/>
    </w:rPr>
  </w:style>
  <w:style w:type="paragraph" w:customStyle="1" w:styleId="434">
    <w:name w:val="toc 910"/>
    <w:next w:val="1"/>
    <w:qFormat/>
    <w:uiPriority w:val="0"/>
    <w:pPr>
      <w:wordWrap w:val="0"/>
      <w:ind w:left="3400"/>
      <w:jc w:val="both"/>
    </w:pPr>
    <w:rPr>
      <w:rFonts w:ascii="Calibri" w:hAnsi="Calibri" w:eastAsia="宋体" w:cs="Times New Roman"/>
      <w:sz w:val="21"/>
      <w:lang w:val="en-US" w:eastAsia="zh-CN" w:bidi="ar-SA"/>
    </w:rPr>
  </w:style>
  <w:style w:type="paragraph" w:customStyle="1" w:styleId="435">
    <w:name w:val="toc 34"/>
    <w:next w:val="1"/>
    <w:qFormat/>
    <w:uiPriority w:val="0"/>
    <w:pPr>
      <w:wordWrap w:val="0"/>
      <w:ind w:left="850"/>
      <w:jc w:val="both"/>
    </w:pPr>
    <w:rPr>
      <w:rFonts w:ascii="Calibri" w:hAnsi="Calibri" w:eastAsia="宋体" w:cs="Times New Roman"/>
      <w:sz w:val="21"/>
      <w:lang w:val="en-US" w:eastAsia="zh-CN" w:bidi="ar-SA"/>
    </w:rPr>
  </w:style>
  <w:style w:type="paragraph" w:customStyle="1" w:styleId="436">
    <w:name w:val="toc 816"/>
    <w:next w:val="1"/>
    <w:qFormat/>
    <w:uiPriority w:val="0"/>
    <w:pPr>
      <w:wordWrap w:val="0"/>
      <w:ind w:left="2975"/>
      <w:jc w:val="both"/>
    </w:pPr>
    <w:rPr>
      <w:rFonts w:ascii="Calibri" w:hAnsi="Calibri" w:eastAsia="宋体" w:cs="Times New Roman"/>
      <w:sz w:val="21"/>
      <w:lang w:val="en-US" w:eastAsia="zh-CN" w:bidi="ar-SA"/>
    </w:rPr>
  </w:style>
  <w:style w:type="paragraph" w:customStyle="1" w:styleId="437">
    <w:name w:val="toc 43"/>
    <w:next w:val="1"/>
    <w:qFormat/>
    <w:uiPriority w:val="0"/>
    <w:pPr>
      <w:wordWrap w:val="0"/>
      <w:ind w:left="1275"/>
      <w:jc w:val="both"/>
    </w:pPr>
    <w:rPr>
      <w:rFonts w:ascii="Calibri" w:hAnsi="Calibri" w:eastAsia="宋体" w:cs="Times New Roman"/>
      <w:sz w:val="21"/>
      <w:lang w:val="en-US" w:eastAsia="zh-CN" w:bidi="ar-SA"/>
    </w:rPr>
  </w:style>
  <w:style w:type="paragraph" w:customStyle="1" w:styleId="438">
    <w:name w:val="toc 16"/>
    <w:next w:val="1"/>
    <w:qFormat/>
    <w:uiPriority w:val="0"/>
    <w:pPr>
      <w:wordWrap w:val="0"/>
      <w:jc w:val="both"/>
    </w:pPr>
    <w:rPr>
      <w:rFonts w:ascii="Calibri" w:hAnsi="Calibri" w:eastAsia="宋体" w:cs="Times New Roman"/>
      <w:sz w:val="21"/>
      <w:lang w:val="en-US" w:eastAsia="zh-CN" w:bidi="ar-SA"/>
    </w:rPr>
  </w:style>
  <w:style w:type="character" w:customStyle="1" w:styleId="439">
    <w:name w:val="引用 字符"/>
    <w:basedOn w:val="46"/>
    <w:link w:val="53"/>
    <w:qFormat/>
    <w:uiPriority w:val="0"/>
    <w:rPr>
      <w:rFonts w:ascii="Calibri" w:hAnsi="Calibri"/>
      <w:i/>
      <w:sz w:val="21"/>
    </w:rPr>
  </w:style>
  <w:style w:type="paragraph" w:customStyle="1" w:styleId="440">
    <w:name w:val="toc 114"/>
    <w:next w:val="1"/>
    <w:qFormat/>
    <w:uiPriority w:val="0"/>
    <w:pPr>
      <w:wordWrap w:val="0"/>
      <w:jc w:val="both"/>
    </w:pPr>
    <w:rPr>
      <w:rFonts w:ascii="Calibri" w:hAnsi="Calibri" w:eastAsia="宋体" w:cs="Times New Roman"/>
      <w:sz w:val="21"/>
      <w:lang w:val="en-US" w:eastAsia="zh-CN" w:bidi="ar-SA"/>
    </w:rPr>
  </w:style>
  <w:style w:type="paragraph" w:customStyle="1" w:styleId="441">
    <w:name w:val="xl119"/>
    <w:basedOn w:val="1"/>
    <w:next w:val="417"/>
    <w:qFormat/>
    <w:uiPriority w:val="0"/>
    <w:pPr>
      <w:widowControl/>
      <w:shd w:val="clear" w:color="000000" w:fill="FFFFFF"/>
      <w:spacing w:before="280" w:after="280"/>
      <w:jc w:val="center"/>
    </w:pPr>
    <w:rPr>
      <w:rFonts w:ascii="宋体" w:hAnsi="Calibri"/>
      <w:b/>
      <w:kern w:val="0"/>
      <w:sz w:val="20"/>
      <w:szCs w:val="20"/>
    </w:rPr>
  </w:style>
  <w:style w:type="paragraph" w:customStyle="1" w:styleId="442">
    <w:name w:val="toc 37"/>
    <w:next w:val="1"/>
    <w:qFormat/>
    <w:uiPriority w:val="0"/>
    <w:pPr>
      <w:wordWrap w:val="0"/>
      <w:ind w:left="850"/>
      <w:jc w:val="both"/>
    </w:pPr>
    <w:rPr>
      <w:rFonts w:ascii="Calibri" w:hAnsi="Calibri" w:eastAsia="宋体" w:cs="Times New Roman"/>
      <w:sz w:val="21"/>
      <w:lang w:val="en-US" w:eastAsia="zh-CN" w:bidi="ar-SA"/>
    </w:rPr>
  </w:style>
  <w:style w:type="paragraph" w:customStyle="1" w:styleId="443">
    <w:name w:val="xl109"/>
    <w:basedOn w:val="1"/>
    <w:next w:val="390"/>
    <w:qFormat/>
    <w:uiPriority w:val="0"/>
    <w:pPr>
      <w:widowControl/>
      <w:shd w:val="clear" w:color="000000" w:fill="FFFFFF"/>
      <w:spacing w:before="280" w:after="280"/>
    </w:pPr>
    <w:rPr>
      <w:rFonts w:ascii="宋体" w:hAnsi="Calibri"/>
      <w:kern w:val="0"/>
      <w:sz w:val="20"/>
      <w:szCs w:val="20"/>
    </w:rPr>
  </w:style>
  <w:style w:type="paragraph" w:customStyle="1" w:styleId="444">
    <w:name w:val="toc 215"/>
    <w:next w:val="1"/>
    <w:qFormat/>
    <w:uiPriority w:val="0"/>
    <w:pPr>
      <w:wordWrap w:val="0"/>
      <w:ind w:left="425"/>
      <w:jc w:val="both"/>
    </w:pPr>
    <w:rPr>
      <w:rFonts w:ascii="Calibri" w:hAnsi="Calibri" w:eastAsia="宋体" w:cs="Times New Roman"/>
      <w:sz w:val="21"/>
      <w:lang w:val="en-US" w:eastAsia="zh-CN" w:bidi="ar-SA"/>
    </w:rPr>
  </w:style>
  <w:style w:type="paragraph" w:customStyle="1" w:styleId="445">
    <w:name w:val="xl76"/>
    <w:basedOn w:val="1"/>
    <w:next w:val="398"/>
    <w:qFormat/>
    <w:uiPriority w:val="0"/>
    <w:pPr>
      <w:widowControl/>
      <w:shd w:val="clear" w:color="000000" w:fill="FFFFFF"/>
      <w:spacing w:before="280" w:after="280"/>
      <w:jc w:val="center"/>
    </w:pPr>
    <w:rPr>
      <w:rFonts w:ascii="宋体" w:hAnsi="Calibri"/>
      <w:b/>
      <w:kern w:val="0"/>
      <w:sz w:val="20"/>
      <w:szCs w:val="20"/>
    </w:rPr>
  </w:style>
  <w:style w:type="paragraph" w:customStyle="1" w:styleId="446">
    <w:name w:val="toc 92"/>
    <w:next w:val="1"/>
    <w:qFormat/>
    <w:uiPriority w:val="0"/>
    <w:pPr>
      <w:wordWrap w:val="0"/>
      <w:ind w:left="3400"/>
      <w:jc w:val="both"/>
    </w:pPr>
    <w:rPr>
      <w:rFonts w:ascii="Calibri" w:hAnsi="Calibri" w:eastAsia="宋体" w:cs="Times New Roman"/>
      <w:sz w:val="21"/>
      <w:lang w:val="en-US" w:eastAsia="zh-CN" w:bidi="ar-SA"/>
    </w:rPr>
  </w:style>
  <w:style w:type="paragraph" w:customStyle="1" w:styleId="447">
    <w:name w:val="toc 216"/>
    <w:next w:val="1"/>
    <w:qFormat/>
    <w:uiPriority w:val="0"/>
    <w:pPr>
      <w:wordWrap w:val="0"/>
      <w:ind w:left="425"/>
      <w:jc w:val="both"/>
    </w:pPr>
    <w:rPr>
      <w:rFonts w:ascii="Calibri" w:hAnsi="Calibri" w:eastAsia="宋体" w:cs="Times New Roman"/>
      <w:sz w:val="21"/>
      <w:lang w:val="en-US" w:eastAsia="zh-CN" w:bidi="ar-SA"/>
    </w:rPr>
  </w:style>
  <w:style w:type="paragraph" w:customStyle="1" w:styleId="448">
    <w:name w:val="xl70"/>
    <w:basedOn w:val="1"/>
    <w:next w:val="375"/>
    <w:qFormat/>
    <w:uiPriority w:val="0"/>
    <w:pPr>
      <w:widowControl/>
      <w:shd w:val="clear" w:color="000000" w:fill="FFFFFF"/>
      <w:spacing w:before="280" w:after="280"/>
    </w:pPr>
    <w:rPr>
      <w:rFonts w:ascii="宋体" w:hAnsi="Calibri"/>
      <w:kern w:val="0"/>
      <w:sz w:val="20"/>
      <w:szCs w:val="20"/>
    </w:rPr>
  </w:style>
  <w:style w:type="paragraph" w:customStyle="1" w:styleId="449">
    <w:name w:val="toc 33"/>
    <w:next w:val="1"/>
    <w:qFormat/>
    <w:uiPriority w:val="0"/>
    <w:pPr>
      <w:wordWrap w:val="0"/>
      <w:ind w:left="850"/>
      <w:jc w:val="both"/>
    </w:pPr>
    <w:rPr>
      <w:rFonts w:ascii="Calibri" w:hAnsi="Calibri" w:eastAsia="宋体" w:cs="Times New Roman"/>
      <w:sz w:val="21"/>
      <w:lang w:val="en-US" w:eastAsia="zh-CN" w:bidi="ar-SA"/>
    </w:rPr>
  </w:style>
  <w:style w:type="paragraph" w:customStyle="1" w:styleId="450">
    <w:name w:val="toc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51">
    <w:name w:val="xl98"/>
    <w:basedOn w:val="1"/>
    <w:next w:val="393"/>
    <w:qFormat/>
    <w:uiPriority w:val="0"/>
    <w:pPr>
      <w:widowControl/>
      <w:shd w:val="clear" w:color="000000" w:fill="FFFFFF"/>
      <w:spacing w:before="280" w:after="280"/>
      <w:jc w:val="center"/>
    </w:pPr>
    <w:rPr>
      <w:rFonts w:ascii="宋体" w:hAnsi="Calibri"/>
      <w:kern w:val="0"/>
      <w:sz w:val="20"/>
      <w:szCs w:val="20"/>
    </w:rPr>
  </w:style>
  <w:style w:type="paragraph" w:customStyle="1" w:styleId="452">
    <w:name w:val="toc 26"/>
    <w:next w:val="1"/>
    <w:qFormat/>
    <w:uiPriority w:val="0"/>
    <w:pPr>
      <w:wordWrap w:val="0"/>
      <w:ind w:left="425"/>
      <w:jc w:val="both"/>
    </w:pPr>
    <w:rPr>
      <w:rFonts w:ascii="Calibri" w:hAnsi="Calibri" w:eastAsia="宋体" w:cs="Times New Roman"/>
      <w:sz w:val="21"/>
      <w:lang w:val="en-US" w:eastAsia="zh-CN" w:bidi="ar-SA"/>
    </w:rPr>
  </w:style>
  <w:style w:type="paragraph" w:customStyle="1" w:styleId="453">
    <w:name w:val="toc 13"/>
    <w:next w:val="1"/>
    <w:qFormat/>
    <w:uiPriority w:val="0"/>
    <w:pPr>
      <w:wordWrap w:val="0"/>
      <w:jc w:val="both"/>
    </w:pPr>
    <w:rPr>
      <w:rFonts w:ascii="Calibri" w:hAnsi="Calibri" w:eastAsia="宋体" w:cs="Times New Roman"/>
      <w:sz w:val="21"/>
      <w:lang w:val="en-US" w:eastAsia="zh-CN" w:bidi="ar-SA"/>
    </w:rPr>
  </w:style>
  <w:style w:type="paragraph" w:customStyle="1" w:styleId="454">
    <w:name w:val="目录 51"/>
    <w:next w:val="1"/>
    <w:qFormat/>
    <w:uiPriority w:val="0"/>
    <w:pPr>
      <w:wordWrap w:val="0"/>
      <w:ind w:left="1700"/>
      <w:jc w:val="both"/>
    </w:pPr>
    <w:rPr>
      <w:rFonts w:ascii="Calibri" w:hAnsi="Calibri" w:eastAsia="宋体" w:cs="Times New Roman"/>
      <w:sz w:val="21"/>
      <w:lang w:val="en-US" w:eastAsia="zh-CN" w:bidi="ar-SA"/>
    </w:rPr>
  </w:style>
  <w:style w:type="paragraph" w:customStyle="1" w:styleId="455">
    <w:name w:val="xl101"/>
    <w:basedOn w:val="1"/>
    <w:next w:val="424"/>
    <w:qFormat/>
    <w:uiPriority w:val="0"/>
    <w:pPr>
      <w:widowControl/>
      <w:spacing w:before="280" w:after="280"/>
    </w:pPr>
    <w:rPr>
      <w:rFonts w:ascii="宋体" w:hAnsi="Calibri"/>
      <w:kern w:val="0"/>
      <w:sz w:val="20"/>
      <w:szCs w:val="20"/>
    </w:rPr>
  </w:style>
  <w:style w:type="paragraph" w:customStyle="1" w:styleId="456">
    <w:name w:val="toc 75"/>
    <w:next w:val="1"/>
    <w:qFormat/>
    <w:uiPriority w:val="0"/>
    <w:pPr>
      <w:wordWrap w:val="0"/>
      <w:ind w:left="2550"/>
      <w:jc w:val="both"/>
    </w:pPr>
    <w:rPr>
      <w:rFonts w:ascii="Calibri" w:hAnsi="Calibri" w:eastAsia="宋体" w:cs="Times New Roman"/>
      <w:sz w:val="21"/>
      <w:lang w:val="en-US" w:eastAsia="zh-CN" w:bidi="ar-SA"/>
    </w:rPr>
  </w:style>
  <w:style w:type="paragraph" w:customStyle="1" w:styleId="457">
    <w:name w:val="toc 715"/>
    <w:next w:val="1"/>
    <w:qFormat/>
    <w:uiPriority w:val="0"/>
    <w:pPr>
      <w:wordWrap w:val="0"/>
      <w:ind w:left="2550"/>
      <w:jc w:val="both"/>
    </w:pPr>
    <w:rPr>
      <w:rFonts w:ascii="Calibri" w:hAnsi="Calibri" w:eastAsia="宋体" w:cs="Times New Roman"/>
      <w:sz w:val="21"/>
      <w:lang w:val="en-US" w:eastAsia="zh-CN" w:bidi="ar-SA"/>
    </w:rPr>
  </w:style>
  <w:style w:type="paragraph" w:customStyle="1" w:styleId="458">
    <w:name w:val="Intense Quote"/>
    <w:next w:val="1"/>
    <w:link w:val="459"/>
    <w:qFormat/>
    <w:uiPriority w:val="0"/>
    <w:pPr>
      <w:wordWrap w:val="0"/>
      <w:spacing w:before="360" w:after="360"/>
      <w:ind w:left="950" w:right="950"/>
      <w:jc w:val="center"/>
    </w:pPr>
    <w:rPr>
      <w:rFonts w:ascii="Calibri" w:hAnsi="Calibri" w:eastAsia="宋体" w:cs="Times New Roman"/>
      <w:i/>
      <w:sz w:val="21"/>
      <w:lang w:val="en-US" w:eastAsia="zh-CN" w:bidi="ar-SA"/>
    </w:rPr>
  </w:style>
  <w:style w:type="character" w:customStyle="1" w:styleId="459">
    <w:name w:val="明显引用 字符"/>
    <w:basedOn w:val="46"/>
    <w:link w:val="458"/>
    <w:qFormat/>
    <w:uiPriority w:val="0"/>
    <w:rPr>
      <w:rFonts w:ascii="Calibri" w:hAnsi="Calibri"/>
      <w:i/>
      <w:sz w:val="21"/>
    </w:rPr>
  </w:style>
  <w:style w:type="paragraph" w:customStyle="1" w:styleId="460">
    <w:name w:val="Char Char Char Char Char Char Char"/>
    <w:basedOn w:val="1"/>
    <w:next w:val="444"/>
    <w:qFormat/>
    <w:uiPriority w:val="0"/>
    <w:pPr>
      <w:widowControl/>
      <w:spacing w:after="160" w:line="240" w:lineRule="exact"/>
    </w:pPr>
    <w:rPr>
      <w:rFonts w:hAnsi="Calibri"/>
      <w:kern w:val="0"/>
      <w:szCs w:val="20"/>
    </w:rPr>
  </w:style>
  <w:style w:type="paragraph" w:customStyle="1" w:styleId="461">
    <w:name w:val="toc 23"/>
    <w:next w:val="1"/>
    <w:qFormat/>
    <w:uiPriority w:val="0"/>
    <w:pPr>
      <w:wordWrap w:val="0"/>
      <w:ind w:left="425"/>
      <w:jc w:val="both"/>
    </w:pPr>
    <w:rPr>
      <w:rFonts w:ascii="Calibri" w:hAnsi="Calibri" w:eastAsia="宋体" w:cs="Times New Roman"/>
      <w:sz w:val="21"/>
      <w:lang w:val="en-US" w:eastAsia="zh-CN" w:bidi="ar-SA"/>
    </w:rPr>
  </w:style>
  <w:style w:type="paragraph" w:customStyle="1" w:styleId="462">
    <w:name w:val="目录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63">
    <w:name w:val="toc 97"/>
    <w:next w:val="1"/>
    <w:qFormat/>
    <w:uiPriority w:val="0"/>
    <w:pPr>
      <w:wordWrap w:val="0"/>
      <w:ind w:left="3400"/>
      <w:jc w:val="both"/>
    </w:pPr>
    <w:rPr>
      <w:rFonts w:ascii="Calibri" w:hAnsi="Calibri" w:eastAsia="宋体" w:cs="Times New Roman"/>
      <w:sz w:val="21"/>
      <w:lang w:val="en-US" w:eastAsia="zh-CN" w:bidi="ar-SA"/>
    </w:rPr>
  </w:style>
  <w:style w:type="paragraph" w:customStyle="1" w:styleId="464">
    <w:name w:val="toc 74"/>
    <w:next w:val="1"/>
    <w:qFormat/>
    <w:uiPriority w:val="0"/>
    <w:pPr>
      <w:wordWrap w:val="0"/>
      <w:ind w:left="2550"/>
      <w:jc w:val="both"/>
    </w:pPr>
    <w:rPr>
      <w:rFonts w:ascii="Calibri" w:hAnsi="Calibri" w:eastAsia="宋体" w:cs="Times New Roman"/>
      <w:sz w:val="21"/>
      <w:lang w:val="en-US" w:eastAsia="zh-CN" w:bidi="ar-SA"/>
    </w:rPr>
  </w:style>
  <w:style w:type="paragraph" w:customStyle="1" w:styleId="465">
    <w:name w:val="xl64"/>
    <w:basedOn w:val="1"/>
    <w:next w:val="440"/>
    <w:qFormat/>
    <w:uiPriority w:val="0"/>
    <w:pPr>
      <w:widowControl/>
      <w:shd w:val="clear" w:color="000000" w:fill="FFFFFF"/>
      <w:spacing w:before="280" w:after="280"/>
    </w:pPr>
    <w:rPr>
      <w:rFonts w:ascii="宋体" w:hAnsi="Calibri"/>
      <w:kern w:val="0"/>
      <w:sz w:val="20"/>
      <w:szCs w:val="20"/>
    </w:rPr>
  </w:style>
  <w:style w:type="paragraph" w:customStyle="1" w:styleId="466">
    <w:name w:val="xl82"/>
    <w:basedOn w:val="1"/>
    <w:next w:val="286"/>
    <w:qFormat/>
    <w:uiPriority w:val="0"/>
    <w:pPr>
      <w:widowControl/>
      <w:shd w:val="clear" w:color="000000" w:fill="FFFFFF"/>
      <w:spacing w:before="280" w:after="280"/>
    </w:pPr>
    <w:rPr>
      <w:rFonts w:ascii="宋体" w:hAnsi="Calibri"/>
      <w:kern w:val="0"/>
      <w:sz w:val="20"/>
      <w:szCs w:val="20"/>
    </w:rPr>
  </w:style>
  <w:style w:type="paragraph" w:customStyle="1" w:styleId="467">
    <w:name w:val="toc 32"/>
    <w:next w:val="1"/>
    <w:qFormat/>
    <w:uiPriority w:val="0"/>
    <w:pPr>
      <w:wordWrap w:val="0"/>
      <w:ind w:left="850"/>
      <w:jc w:val="both"/>
    </w:pPr>
    <w:rPr>
      <w:rFonts w:ascii="Calibri" w:hAnsi="Calibri" w:eastAsia="宋体" w:cs="Times New Roman"/>
      <w:sz w:val="21"/>
      <w:lang w:val="en-US" w:eastAsia="zh-CN" w:bidi="ar-SA"/>
    </w:rPr>
  </w:style>
  <w:style w:type="paragraph" w:customStyle="1" w:styleId="468">
    <w:name w:val="xl77"/>
    <w:basedOn w:val="1"/>
    <w:next w:val="434"/>
    <w:qFormat/>
    <w:uiPriority w:val="0"/>
    <w:pPr>
      <w:widowControl/>
      <w:shd w:val="clear" w:color="000000" w:fill="FFFFFF"/>
      <w:spacing w:before="280" w:after="280"/>
      <w:jc w:val="center"/>
    </w:pPr>
    <w:rPr>
      <w:rFonts w:ascii="宋体" w:hAnsi="Calibri"/>
      <w:kern w:val="0"/>
      <w:sz w:val="20"/>
      <w:szCs w:val="20"/>
    </w:rPr>
  </w:style>
  <w:style w:type="character" w:customStyle="1" w:styleId="469">
    <w:name w:val="正文缩进 Char1"/>
    <w:qFormat/>
    <w:uiPriority w:val="0"/>
    <w:rPr>
      <w:rFonts w:eastAsia="宋体"/>
      <w:kern w:val="2"/>
      <w:sz w:val="21"/>
      <w:lang w:val="en-US" w:eastAsia="zh-CN" w:bidi="ar-SA"/>
    </w:rPr>
  </w:style>
  <w:style w:type="character" w:customStyle="1" w:styleId="470">
    <w:name w:val="fielderror"/>
    <w:basedOn w:val="46"/>
    <w:qFormat/>
    <w:uiPriority w:val="0"/>
    <w:rPr>
      <w:color w:val="800000"/>
    </w:rPr>
  </w:style>
  <w:style w:type="character" w:customStyle="1" w:styleId="471">
    <w:name w:val="hilite6"/>
    <w:basedOn w:val="46"/>
    <w:qFormat/>
    <w:uiPriority w:val="0"/>
    <w:rPr>
      <w:color w:val="000000"/>
    </w:rPr>
  </w:style>
  <w:style w:type="character" w:customStyle="1" w:styleId="472">
    <w:name w:val="active6"/>
    <w:basedOn w:val="46"/>
    <w:qFormat/>
    <w:uiPriority w:val="0"/>
    <w:rPr>
      <w:color w:val="FFFFFF"/>
    </w:rPr>
  </w:style>
  <w:style w:type="character" w:customStyle="1" w:styleId="473">
    <w:name w:val="inline-help"/>
    <w:basedOn w:val="46"/>
    <w:qFormat/>
    <w:uiPriority w:val="0"/>
  </w:style>
  <w:style w:type="character" w:customStyle="1" w:styleId="474">
    <w:name w:val="active"/>
    <w:basedOn w:val="46"/>
    <w:qFormat/>
    <w:uiPriority w:val="0"/>
    <w:rPr>
      <w:color w:val="FFFFFF"/>
    </w:rPr>
  </w:style>
  <w:style w:type="paragraph" w:customStyle="1" w:styleId="475">
    <w:name w:val="引用1"/>
    <w:next w:val="1"/>
    <w:qFormat/>
    <w:uiPriority w:val="99"/>
    <w:pPr>
      <w:widowControl w:val="0"/>
      <w:jc w:val="both"/>
    </w:pPr>
    <w:rPr>
      <w:rFonts w:ascii="Calibri" w:hAnsi="Calibri" w:cs="Calibri" w:eastAsiaTheme="minorEastAsia"/>
      <w:i/>
      <w:iCs/>
      <w:color w:val="000000"/>
      <w:kern w:val="2"/>
      <w:sz w:val="22"/>
      <w:szCs w:val="22"/>
      <w:lang w:val="en-US" w:eastAsia="zh-CN" w:bidi="ar-SA"/>
    </w:rPr>
  </w:style>
  <w:style w:type="character" w:customStyle="1" w:styleId="476">
    <w:name w:val="layui-layer-tabnow"/>
    <w:basedOn w:val="46"/>
    <w:uiPriority w:val="0"/>
    <w:rPr>
      <w:bdr w:val="single" w:color="CCCCCC" w:sz="6" w:space="0"/>
      <w:shd w:val="clear" w:fill="FFFFFF"/>
    </w:rPr>
  </w:style>
  <w:style w:type="character" w:customStyle="1" w:styleId="477">
    <w:name w:val="first-child"/>
    <w:basedOn w:val="46"/>
    <w:uiPriority w:val="0"/>
  </w:style>
  <w:style w:type="character" w:customStyle="1" w:styleId="478">
    <w:name w:val="hilite"/>
    <w:basedOn w:val="46"/>
    <w:uiPriority w:val="0"/>
    <w:rPr>
      <w:color w:val="000000"/>
    </w:rPr>
  </w:style>
  <w:style w:type="character" w:customStyle="1" w:styleId="479">
    <w:name w:val="hilite5"/>
    <w:basedOn w:val="46"/>
    <w:uiPriority w:val="0"/>
    <w:rPr>
      <w:color w:val="000000"/>
    </w:rPr>
  </w:style>
  <w:style w:type="character" w:customStyle="1" w:styleId="480">
    <w:name w:val="active8"/>
    <w:basedOn w:val="46"/>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4DA3C-3EBF-4C34-A699-3832E525D5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6321</Words>
  <Characters>36030</Characters>
  <Lines>300</Lines>
  <Paragraphs>84</Paragraphs>
  <TotalTime>2</TotalTime>
  <ScaleCrop>false</ScaleCrop>
  <LinksUpToDate>false</LinksUpToDate>
  <CharactersWithSpaces>42267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2021-05-07T05:47:00Z</dcterms:created>
  <dc:creator>thsware</dc:creator>
  <cp:lastModifiedBy>张泓</cp:lastModifiedBy>
  <cp:lastPrinted>2021-05-16T11:04:00Z</cp:lastPrinted>
  <dcterms:modified xsi:type="dcterms:W3CDTF">2021-09-10T01:21:48Z</dcterms:modified>
  <dc:title>招  标　文　件</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