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keepNext w:val="0"/>
        <w:keepLines w:val="0"/>
        <w:widowControl/>
        <w:suppressLineNumbers w:val="0"/>
        <w:spacing w:before="454" w:beforeAutospacing="0" w:after="454" w:afterAutospacing="0"/>
        <w:ind w:left="454" w:right="454"/>
        <w:jc w:val="center"/>
        <w:outlineLvl w:val="0"/>
        <w:rPr>
          <w:sz w:val="40"/>
          <w:szCs w:val="40"/>
        </w:rPr>
      </w:pPr>
      <w:r>
        <w:rPr>
          <w:sz w:val="40"/>
          <w:szCs w:val="40"/>
        </w:rPr>
        <w:t>60岁及以上老年人流感疫苗</w:t>
      </w:r>
    </w:p>
    <w:p>
      <w:pPr>
        <w:pStyle w:val="38"/>
        <w:keepNext w:val="0"/>
        <w:keepLines w:val="0"/>
        <w:widowControl/>
        <w:suppressLineNumbers w:val="0"/>
        <w:jc w:val="center"/>
        <w:outlineLvl w:val="1"/>
        <w:rPr>
          <w:rFonts w:ascii="黑体" w:hAnsi="宋体" w:eastAsia="黑体" w:cs="黑体"/>
          <w:sz w:val="40"/>
          <w:szCs w:val="40"/>
        </w:rPr>
      </w:pPr>
      <w:r>
        <w:rPr>
          <w:rFonts w:hint="eastAsia" w:ascii="黑体" w:hAnsi="宋体" w:eastAsia="黑体" w:cs="黑体"/>
          <w:sz w:val="40"/>
          <w:szCs w:val="40"/>
          <w:bdr w:val="none" w:color="auto" w:sz="0" w:space="0"/>
        </w:rPr>
        <w:t>招标文件信息</w:t>
      </w:r>
    </w:p>
    <w:tbl>
      <w:tblPr>
        <w:tblW w:w="7943" w:type="dxa"/>
        <w:jc w:val="center"/>
        <w:tblCellSpacing w:w="0" w:type="dxa"/>
        <w:shd w:val="clear"/>
        <w:tblLayout w:type="autofit"/>
        <w:tblCellMar>
          <w:top w:w="45" w:type="dxa"/>
          <w:left w:w="45" w:type="dxa"/>
          <w:bottom w:w="45" w:type="dxa"/>
          <w:right w:w="45" w:type="dxa"/>
        </w:tblCellMar>
      </w:tblPr>
      <w:tblGrid>
        <w:gridCol w:w="2723"/>
        <w:gridCol w:w="5220"/>
      </w:tblGrid>
      <w:tr>
        <w:tblPrEx>
          <w:shd w:val="clear"/>
          <w:tblCellMar>
            <w:top w:w="45" w:type="dxa"/>
            <w:left w:w="45" w:type="dxa"/>
            <w:bottom w:w="45" w:type="dxa"/>
            <w:right w:w="45" w:type="dxa"/>
          </w:tblCellMar>
        </w:tblPrEx>
        <w:trPr>
          <w:trHeight w:val="738" w:hRule="atLeast"/>
          <w:tblCellSpacing w:w="0" w:type="dxa"/>
          <w:jc w:val="center"/>
        </w:trPr>
        <w:tc>
          <w:tcPr>
            <w:tcW w:w="2723" w:type="dxa"/>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项目编号：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SZCG2021200443</w:t>
            </w:r>
          </w:p>
        </w:tc>
      </w:tr>
      <w:tr>
        <w:tblPrEx>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项目名称：</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60岁及以上老年人流感疫苗</w:t>
            </w:r>
          </w:p>
        </w:tc>
      </w:tr>
      <w:tr>
        <w:tblPrEx>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包 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A</w:t>
            </w:r>
          </w:p>
        </w:tc>
      </w:tr>
      <w:tr>
        <w:tblPrEx>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货物类</w:t>
            </w:r>
          </w:p>
        </w:tc>
      </w:tr>
      <w:tr>
        <w:tblPrEx>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采购方式：</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公开招标</w:t>
            </w:r>
          </w:p>
        </w:tc>
      </w:tr>
      <w:tr>
        <w:tblPrEx>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货币类型：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人民币</w:t>
            </w:r>
          </w:p>
        </w:tc>
      </w:tr>
      <w:tr>
        <w:tblPrEx>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评标方法：</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综合评分法（新价格分算法）</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资格性审查表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投标人不具备招标文件所列的资格要求，或未提交相应的资格证明资料（详见招标公告投标人资格要求）；</w:t>
            </w:r>
          </w:p>
        </w:tc>
      </w:tr>
    </w:tbl>
    <w:p>
      <w:pPr>
        <w:pStyle w:val="38"/>
        <w:keepNext w:val="0"/>
        <w:keepLines w:val="0"/>
        <w:widowControl/>
        <w:suppressLineNumbers w:val="0"/>
        <w:spacing w:before="280" w:beforeAutospacing="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符合性审查表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投标报价高于财政预算限额（最高投标限价）的；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投标报价有缺漏项目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所投产品、工程、服务在商务、技术等方面没有实质性满足招标文件要求的（是否实质性满足招标文件要求，由评标委员会根据《实质性条款响应情况表》做出评判）；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未按招标文件所提供的样式填写《投标函》；未按招标文件所提供的《政府采购投标及履约承诺函》进行承诺；未按招标文件对投标文件组成的要求提供投标文件的（投标文件组成不完整）；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投标文件存在列放位置错误，导致属于信息公开内容的没有被公开；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法律、法规规定的其他情形。</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评标信息</w:t>
      </w:r>
    </w:p>
    <w:tbl>
      <w:tblPr>
        <w:tblW w:w="9078" w:type="dxa"/>
        <w:jc w:val="center"/>
        <w:tblCellSpacing w:w="0" w:type="dxa"/>
        <w:shd w:val="clear"/>
        <w:tblLayout w:type="autofit"/>
        <w:tblCellMar>
          <w:top w:w="45" w:type="dxa"/>
          <w:left w:w="45" w:type="dxa"/>
          <w:bottom w:w="45" w:type="dxa"/>
          <w:right w:w="45" w:type="dxa"/>
        </w:tblCellMar>
      </w:tblPr>
      <w:tblGrid>
        <w:gridCol w:w="8860"/>
        <w:gridCol w:w="218"/>
      </w:tblGrid>
      <w:tr>
        <w:tblPrEx>
          <w:shd w:val="clear"/>
        </w:tblPrEx>
        <w:trPr>
          <w:tblCellSpacing w:w="0" w:type="dxa"/>
          <w:jc w:val="center"/>
        </w:trPr>
        <w:tc>
          <w:tcPr>
            <w:tcW w:w="0" w:type="auto"/>
            <w:shd w:val="clear"/>
            <w:vAlign w:val="center"/>
          </w:tcPr>
          <w:p>
            <w:pPr>
              <w:keepNext w:val="0"/>
              <w:keepLines w:val="0"/>
              <w:widowControl/>
              <w:suppressLineNumbers w:val="0"/>
              <w:jc w:val="left"/>
              <w:rPr>
                <w:b/>
                <w:bCs/>
                <w:sz w:val="24"/>
                <w:szCs w:val="24"/>
              </w:rPr>
            </w:pPr>
            <w:r>
              <w:rPr>
                <w:rFonts w:ascii="宋体" w:hAnsi="宋体" w:eastAsia="宋体" w:cs="宋体"/>
                <w:b/>
                <w:bCs/>
                <w:kern w:val="0"/>
                <w:sz w:val="24"/>
                <w:szCs w:val="24"/>
                <w:bdr w:val="none" w:color="auto" w:sz="0" w:space="0"/>
                <w:lang w:val="en-US" w:eastAsia="zh-CN" w:bidi="ar"/>
              </w:rPr>
              <w:t>评标方法：综合评分法（新价格分算法）</w:t>
            </w:r>
          </w:p>
        </w:tc>
        <w:tc>
          <w:tcPr>
            <w:tcW w:w="0" w:type="auto"/>
            <w:shd w:val="clear"/>
            <w:vAlign w:val="center"/>
          </w:tcPr>
          <w:p>
            <w:pPr>
              <w:jc w:val="right"/>
              <w:rPr>
                <w:rFonts w:hint="eastAsia" w:ascii="宋体"/>
                <w:b/>
                <w:bCs/>
                <w:sz w:val="24"/>
                <w:szCs w:val="24"/>
              </w:rPr>
            </w:pPr>
          </w:p>
        </w:tc>
      </w:tr>
      <w:tr>
        <w:tblPrEx>
          <w:shd w:val="clear"/>
          <w:tblCellMar>
            <w:top w:w="45" w:type="dxa"/>
            <w:left w:w="45" w:type="dxa"/>
            <w:bottom w:w="45" w:type="dxa"/>
            <w:right w:w="45" w:type="dxa"/>
          </w:tblCellMar>
        </w:tblPrEx>
        <w:trPr>
          <w:tblCellSpacing w:w="0" w:type="dxa"/>
          <w:jc w:val="center"/>
        </w:trPr>
        <w:tc>
          <w:tcPr>
            <w:tcW w:w="0" w:type="auto"/>
            <w:gridSpan w:val="2"/>
            <w:shd w:val="clear"/>
            <w:vAlign w:val="center"/>
          </w:tcPr>
          <w:p>
            <w:pPr>
              <w:pStyle w:val="38"/>
              <w:keepNext w:val="0"/>
              <w:keepLines w:val="0"/>
              <w:widowControl/>
              <w:numPr>
                <w:numId w:val="0"/>
              </w:numPr>
              <w:suppressLineNumbers w:val="0"/>
              <w:spacing w:line="324" w:lineRule="auto"/>
              <w:ind w:left="0" w:firstLine="420"/>
              <w:rPr>
                <w:sz w:val="21"/>
                <w:szCs w:val="21"/>
              </w:rPr>
            </w:pPr>
            <w:r>
              <w:rPr>
                <w:sz w:val="21"/>
                <w:szCs w:val="21"/>
                <w:bdr w:val="none" w:color="auto" w:sz="0" w:space="0"/>
              </w:rPr>
              <w:t xml:space="preserve">综合评分法，是指投标文件满足招标文件全部实质性要求，且按照评审因素的量化指标评审得分最高的投标人为中标候选人的评标方法。 </w:t>
            </w:r>
          </w:p>
          <w:p>
            <w:pPr>
              <w:pStyle w:val="38"/>
              <w:keepNext w:val="0"/>
              <w:keepLines w:val="0"/>
              <w:widowControl/>
              <w:suppressLineNumbers w:val="0"/>
              <w:ind w:left="0" w:firstLine="420"/>
              <w:rPr>
                <w:sz w:val="21"/>
                <w:szCs w:val="21"/>
              </w:rPr>
            </w:pPr>
            <w:r>
              <w:rPr>
                <w:sz w:val="21"/>
                <w:szCs w:val="21"/>
                <w:bdr w:val="none" w:color="auto" w:sz="0" w:space="0"/>
              </w:rPr>
              <w:t>价格分计算方法：</w:t>
            </w:r>
          </w:p>
          <w:p>
            <w:pPr>
              <w:pStyle w:val="38"/>
              <w:keepNext w:val="0"/>
              <w:keepLines w:val="0"/>
              <w:widowControl/>
              <w:numPr>
                <w:numId w:val="0"/>
              </w:numPr>
              <w:suppressLineNumbers w:val="0"/>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rPr>
          <w:vanish/>
          <w:sz w:val="24"/>
          <w:szCs w:val="24"/>
        </w:rPr>
      </w:pP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681"/>
        <w:gridCol w:w="681"/>
        <w:gridCol w:w="2837"/>
        <w:gridCol w:w="681"/>
        <w:gridCol w:w="41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序号</w:t>
            </w:r>
          </w:p>
        </w:tc>
        <w:tc>
          <w:tcPr>
            <w:tcW w:w="4199"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评分项</w:t>
            </w:r>
          </w:p>
        </w:tc>
        <w:tc>
          <w:tcPr>
            <w:tcW w:w="4199"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1</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价格</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397"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2</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技术部分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技术规格偏离情况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投标人应如实填写《技术规格偏离表》，评审委员会根据技术需求参数响应情况进行打分，各项技术参数指标及要求全部满足的得100分，带▲的重要参数每负偏离一项扣20分，一般参数负偏离一项扣15分。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3</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商务需求</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免费保修期内售后服务条款偏离情况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6</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投标人应如实填写《免费保修期内售后服务条款偏离表》，评审委员会根据响应情况进行打分，全部满足要求的得100分，每负偏离一项扣20分。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其他商务条款偏离情况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投标人应如实填写《其他商务条款偏离表》，评审委员会根据响应情况进行打分，全部满足要求的得100分，重要参数每负偏离一项扣20分，一般参数负偏离一项扣15分。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4</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诚信情况</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诚信</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5</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综合实力</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投标人近三年同类业绩（以合同签订时间为准，截止日为本项目投标截止日）</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提供3个老年人流感疫苗同类业绩即得满分，提供2个得60分，提供1个得30分，未提供的不得分。投标人必须在投标文件中提供每一个完工项目的合同和验收报告（均加盖合同甲方公章或业务章）扫描件，原件备查，否则不得分。</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投标书目录</w:t>
      </w:r>
    </w:p>
    <w:tbl>
      <w:tblPr>
        <w:tblW w:w="9078" w:type="dxa"/>
        <w:jc w:val="center"/>
        <w:tblCellSpacing w:w="0" w:type="dxa"/>
        <w:shd w:val="clear"/>
        <w:tblLayout w:type="autofit"/>
        <w:tblCellMar>
          <w:top w:w="45" w:type="dxa"/>
          <w:left w:w="45" w:type="dxa"/>
          <w:bottom w:w="45" w:type="dxa"/>
          <w:right w:w="45" w:type="dxa"/>
        </w:tblCellMar>
      </w:tblPr>
      <w:tblGrid>
        <w:gridCol w:w="9078"/>
      </w:tblGrid>
      <w:tr>
        <w:tblPrEx>
          <w:shd w:val="clear"/>
          <w:tblCellMar>
            <w:top w:w="45" w:type="dxa"/>
            <w:left w:w="45" w:type="dxa"/>
            <w:bottom w:w="45" w:type="dxa"/>
            <w:right w:w="45" w:type="dxa"/>
          </w:tblCellMar>
        </w:tblPrEx>
        <w:trPr>
          <w:tblCellSpacing w:w="0" w:type="dxa"/>
          <w:jc w:val="center"/>
        </w:trPr>
        <w:tc>
          <w:tcPr>
            <w:tcW w:w="0" w:type="auto"/>
            <w:shd w:val="clear"/>
            <w:vAlign w:val="center"/>
          </w:tcPr>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投标函</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政府采购投标及履约承诺函</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分项报价清单表</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项目报价表</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核心产品的品牌情况</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可选配件报价清单（不包括在总报价内）</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供应商认为需要涉及的其他内容报价清单</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投标人情况介绍</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投标人资格证明文件</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近三年同类业绩（可选）</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中小企业声明函、残疾人福利性单位声明函及监狱企业声明函(可选)</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投标人认为需提供的其他证明文件</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货物说明一览表</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技术规格偏离表</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商务需求偏离表</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投标人认为需要加以说明的其他内容</w:t>
            </w:r>
          </w:p>
        </w:tc>
      </w:tr>
    </w:tbl>
    <w:p>
      <w:pPr>
        <w:rPr>
          <w:rFonts w:hint="eastAsia"/>
        </w:rPr>
        <w:sectPr>
          <w:headerReference r:id="rId3" w:type="first"/>
          <w:footerReference r:id="rId4" w:type="default"/>
          <w:footerReference r:id="rId5" w:type="even"/>
          <w:pgSz w:w="11907" w:h="16840"/>
          <w:pgMar w:top="1440" w:right="1418" w:bottom="1440" w:left="1418" w:header="851" w:footer="992" w:gutter="0"/>
          <w:cols w:space="425" w:num="1"/>
          <w:titlePg/>
          <w:docGrid w:linePitch="462" w:charSpace="0"/>
        </w:sectPr>
      </w:pPr>
      <w:bookmarkStart w:id="39" w:name="_GoBack"/>
      <w:bookmarkEnd w:id="39"/>
    </w:p>
    <w:p>
      <w:pPr>
        <w:pStyle w:val="2"/>
        <w:rPr>
          <w:color w:val="FF0000"/>
        </w:rPr>
      </w:pPr>
      <w:r>
        <w:rPr>
          <w:rFonts w:hint="eastAsia"/>
          <w:color w:val="FF0000"/>
        </w:rPr>
        <w:t>警示条款</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（一）在采购活动中应当回避而未回避的；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（二）未按本条例规定签订、履行采购合同，造成严重后果的；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（三）隐瞒真实情况，提供虚假资料的；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（四）以非法手段排斥其他供应商参与竞争的；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（五）与其他采购参加人串通投标的；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（六）恶意投诉的；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（七）向采购项目相关人行贿或者提供其他不当利益的；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（八）阻碍、抗拒主管部门监督检查的；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（九）其他违反本条例规定的行为。</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二、《深圳经济特区政府采购条例实施细则》第七十六条 供应商有下列行为之一的，由主管部门记入供应商诚信档案并作出以下处罚：</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　　</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三、《深圳经济特区政府采购条例实施细则》第七十七条 供应商有下列行为之一的，属于情节严重，由市场监管部门依法吊销其营业执照，主管部门取消其参与本市政府采购的资格，并作出以下处罚：</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四、《深圳经济特区政府采购条例实施细则》第七十九条 供应商有下列情形的，属于采购条例所称的串通投标行为，按照采购条例第五十七条有关规定处理：</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（一）投标供应商之间相互约定给予未中标的供应商利益补偿；</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（二）不同投标供应商的法定代表人、主要经营负责人、项目投标授权代表人、项目负责人、主要技术人员为同一人、属同一单位或者在同一单位缴纳社会保险；　　　　</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（三）不同投标供应商的投标文件由同一单位或者同一人编制，或者由同一人分阶段参与编制的；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（四）不同投标供应商的投标文件或部分投标文件相互混装；</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（五）不同投标供应商的投标文件内容存在非正常一致；</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（六）由同一单位工作人员为两家以上（含两家）供应商进行同一项投标活动的；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（七）主管部门依照法律、法规认定的其他情形。</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五、《深圳经济特区政府采购条例实施细则》第八十一条 供应商有下列情形之一的，属于隐瞒真实情况，提供虚假资料，按照采购条例第五十七的有关规定处理：</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（一）通过转让或者租借等方式从其他单位获取资格或者资质证书投标的；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（二）由其他单位或者其他单位负责人在投标供应商编制的投标文件上加盖印章或者签字的；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（三）项目负责人或者主要技术人员不是本单位人员的；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（四）投标保证金不是从投标供应商基本账户转出的；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（五）其他隐瞒真实情况、提供虚假资料的行为。</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投标供应商不能提供项目负责人或者主要技术人员的劳动合同、社会保险等劳动关系证明材料的，视为存在前款第（三）项规定的情形。</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六、根据《深圳市财政局关于明确政府采购保证金管理工作的通知》（深财购〔</w:t>
      </w:r>
      <w:r>
        <w:rPr>
          <w:rFonts w:ascii="宋体" w:hAnsi="宋体"/>
          <w:color w:val="FF0000"/>
          <w:sz w:val="32"/>
          <w:szCs w:val="32"/>
        </w:rPr>
        <w:t>2019</w:t>
      </w:r>
      <w:r>
        <w:rPr>
          <w:rFonts w:hint="eastAsia" w:ascii="宋体" w:hAnsi="宋体"/>
          <w:color w:val="FF0000"/>
          <w:sz w:val="32"/>
          <w:szCs w:val="32"/>
        </w:rPr>
        <w:t>〕42号）的要求，供应商在政府采购活动中出现《深圳经济特区政府采购条例实施细则》以下情形的，采购人或招标机构可将有关情况报同级财政部门，由财政部门根据实际情况记入供应商诚信档案，予以通报：</w:t>
      </w:r>
    </w:p>
    <w:p>
      <w:pPr>
        <w:spacing w:line="400" w:lineRule="exact"/>
        <w:ind w:firstLine="640" w:firstLineChars="200"/>
        <w:rPr>
          <w:rFonts w:ascii="宋体" w:hAnsi="宋体"/>
          <w:color w:val="FF0000"/>
          <w:sz w:val="32"/>
          <w:szCs w:val="32"/>
        </w:rPr>
      </w:pPr>
      <w:r>
        <w:rPr>
          <w:rFonts w:ascii="宋体" w:hAnsi="宋体"/>
          <w:color w:val="FF0000"/>
          <w:sz w:val="32"/>
          <w:szCs w:val="32"/>
        </w:rPr>
        <w:t>（一）投标截止后，撤销投标的；</w:t>
      </w:r>
    </w:p>
    <w:p>
      <w:pPr>
        <w:spacing w:line="400" w:lineRule="exact"/>
        <w:ind w:firstLine="640" w:firstLineChars="200"/>
        <w:rPr>
          <w:rFonts w:ascii="宋体" w:hAnsi="宋体"/>
          <w:color w:val="FF0000"/>
          <w:sz w:val="32"/>
          <w:szCs w:val="32"/>
        </w:rPr>
      </w:pPr>
      <w:r>
        <w:rPr>
          <w:rFonts w:ascii="宋体" w:hAnsi="宋体"/>
          <w:color w:val="FF0000"/>
          <w:sz w:val="32"/>
          <w:szCs w:val="32"/>
        </w:rPr>
        <w:t>（二）中标后无正当理由未在规定期限内签订合同的；</w:t>
      </w:r>
    </w:p>
    <w:p>
      <w:pPr>
        <w:spacing w:line="400" w:lineRule="exact"/>
        <w:ind w:firstLine="640" w:firstLineChars="200"/>
        <w:rPr>
          <w:rFonts w:ascii="宋体" w:hAnsi="宋体"/>
          <w:color w:val="FF0000"/>
          <w:sz w:val="32"/>
          <w:szCs w:val="32"/>
        </w:rPr>
      </w:pPr>
      <w:r>
        <w:rPr>
          <w:rFonts w:ascii="宋体" w:hAnsi="宋体"/>
          <w:color w:val="FF0000"/>
          <w:sz w:val="32"/>
          <w:szCs w:val="32"/>
        </w:rPr>
        <w:t>（三）将中标项目转让给他人、或者在投标文件中未说明且未经采购人、采购招标机构同意，将中标项目分包给他人的；</w:t>
      </w:r>
    </w:p>
    <w:p>
      <w:pPr>
        <w:spacing w:line="400" w:lineRule="exact"/>
        <w:ind w:firstLine="640" w:firstLineChars="200"/>
        <w:rPr>
          <w:rFonts w:ascii="宋体" w:hAnsi="宋体"/>
          <w:color w:val="FF0000"/>
          <w:sz w:val="32"/>
          <w:szCs w:val="32"/>
        </w:rPr>
      </w:pPr>
      <w:r>
        <w:rPr>
          <w:rFonts w:ascii="宋体" w:hAnsi="宋体"/>
          <w:color w:val="FF0000"/>
          <w:sz w:val="32"/>
          <w:szCs w:val="32"/>
        </w:rPr>
        <w:t>（四）拒绝履行合同义务的</w:t>
      </w:r>
      <w:r>
        <w:rPr>
          <w:rFonts w:hint="eastAsia" w:ascii="宋体" w:hAnsi="宋体"/>
          <w:color w:val="FF0000"/>
          <w:sz w:val="32"/>
          <w:szCs w:val="32"/>
        </w:rPr>
        <w:t>。</w:t>
      </w:r>
    </w:p>
    <w:p>
      <w:pPr>
        <w:widowControl/>
        <w:jc w:val="left"/>
        <w:rPr>
          <w:rFonts w:ascii="宋体" w:hAnsi="宋体"/>
          <w:color w:val="FF0000"/>
          <w:sz w:val="32"/>
          <w:szCs w:val="32"/>
        </w:rPr>
      </w:pPr>
      <w:r>
        <w:rPr>
          <w:rFonts w:ascii="宋体" w:hAnsi="宋体"/>
          <w:color w:val="FF0000"/>
          <w:sz w:val="32"/>
          <w:szCs w:val="32"/>
        </w:rPr>
        <w:br w:type="page"/>
      </w:r>
    </w:p>
    <w:p>
      <w:pPr>
        <w:pStyle w:val="4"/>
        <w:jc w:val="center"/>
        <w:rPr>
          <w:rFonts w:ascii="宋体" w:hAnsi="宋体" w:eastAsia="宋体"/>
          <w:szCs w:val="32"/>
        </w:rPr>
      </w:pPr>
      <w:r>
        <w:rPr>
          <w:rFonts w:hint="eastAsia" w:ascii="宋体" w:hAnsi="宋体" w:eastAsia="宋体"/>
          <w:szCs w:val="32"/>
        </w:rPr>
        <w:t xml:space="preserve"> 其它关键信息</w:t>
      </w:r>
    </w:p>
    <w:p>
      <w:pPr>
        <w:ind w:firstLine="3268" w:firstLineChars="1550"/>
        <w:rPr>
          <w:b/>
        </w:rPr>
      </w:pPr>
      <w:r>
        <w:rPr>
          <w:rFonts w:hint="eastAsia"/>
          <w:b/>
        </w:rPr>
        <w:t xml:space="preserve"> 一、评标定标信息</w:t>
      </w:r>
    </w:p>
    <w:p>
      <w:r>
        <w:rPr>
          <w:rFonts w:hint="eastAsia"/>
        </w:rPr>
        <w:t xml:space="preserve">                               </w:t>
      </w:r>
      <w:r>
        <w:rPr>
          <w:rFonts w:hint="eastAsia"/>
          <w:b/>
        </w:rPr>
        <w:t>（二）非评定分离项目</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bookmarkStart w:id="0" w:name="_Hlk74239733"/>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shd w:val="clear" w:color="auto" w:fill="auto"/>
          </w:tcPr>
          <w:p>
            <w:pPr>
              <w:jc w:val="center"/>
            </w:pPr>
            <w:r>
              <w:rPr>
                <w:rFonts w:hint="eastAsia"/>
              </w:rPr>
              <w:t>候选中标供应商家数</w:t>
            </w:r>
          </w:p>
        </w:tc>
        <w:tc>
          <w:tcPr>
            <w:tcW w:w="4265" w:type="dxa"/>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中标供应商家数</w:t>
            </w:r>
          </w:p>
        </w:tc>
        <w:tc>
          <w:tcPr>
            <w:tcW w:w="4265" w:type="dxa"/>
          </w:tcPr>
          <w:p>
            <w:pPr>
              <w:jc w:val="center"/>
            </w:pPr>
            <w:r>
              <w:rPr>
                <w:rFonts w:hint="eastAsia"/>
              </w:rPr>
              <w:t>1</w:t>
            </w:r>
          </w:p>
        </w:tc>
      </w:tr>
      <w:bookmarkEnd w:id="0"/>
    </w:tbl>
    <w:p>
      <w:pPr>
        <w:jc w:val="center"/>
        <w:rPr>
          <w:b/>
        </w:rPr>
      </w:pPr>
      <w:bookmarkStart w:id="1" w:name="_Hlk74239746"/>
      <w:r>
        <w:rPr>
          <w:rFonts w:hint="eastAsia"/>
          <w:b/>
        </w:rPr>
        <w:t>二、关于享受优惠政策的主体及价格扣除比例</w:t>
      </w:r>
    </w:p>
    <w:p>
      <w:pPr>
        <w:ind w:firstLine="420" w:firstLineChars="200"/>
      </w:pPr>
      <w:r>
        <w:rPr>
          <w:rFonts w:hint="eastAsia"/>
        </w:rPr>
        <w:t>根据《政府采购促进中小企业发展管理办法》（财库﹝</w:t>
      </w:r>
      <w:r>
        <w:t>2020</w:t>
      </w:r>
      <w:r>
        <w:rPr>
          <w:rFonts w:hint="eastAsia"/>
        </w:rPr>
        <w:t>﹞</w:t>
      </w:r>
      <w:r>
        <w:t xml:space="preserve">46 </w:t>
      </w:r>
      <w:r>
        <w:rPr>
          <w:rFonts w:hint="eastAsia"/>
        </w:rPr>
        <w:t>号），供应商提供的货物由中小企业制造，即货物由中小企业生产且使用该中小企业商号或者注册商标的，可享受中小企业扶持政策。</w:t>
      </w:r>
      <w:r>
        <w:rPr>
          <w:rFonts w:hint="eastAsia"/>
          <w:b/>
          <w:bCs/>
          <w:color w:val="FF0000"/>
        </w:rPr>
        <w:t>供应商提供的货物既有中小企业制造货物，也有大型企业制造货物的，不享受《政府采购促进中小企业发展管理办法》（财库﹝</w:t>
      </w:r>
      <w:r>
        <w:rPr>
          <w:b/>
          <w:bCs/>
          <w:color w:val="FF0000"/>
        </w:rPr>
        <w:t>2020</w:t>
      </w:r>
      <w:r>
        <w:rPr>
          <w:rFonts w:hint="eastAsia"/>
          <w:b/>
          <w:bCs/>
          <w:color w:val="FF0000"/>
        </w:rPr>
        <w:t>﹞</w:t>
      </w:r>
      <w:r>
        <w:rPr>
          <w:b/>
          <w:bCs/>
          <w:color w:val="FF0000"/>
        </w:rPr>
        <w:t xml:space="preserve">46 </w:t>
      </w:r>
      <w:r>
        <w:rPr>
          <w:rFonts w:hint="eastAsia"/>
          <w:b/>
          <w:bCs/>
          <w:color w:val="FF0000"/>
        </w:rPr>
        <w:t>号）规定的中小企业扶持政策</w:t>
      </w:r>
      <w:r>
        <w:rPr>
          <w:rFonts w:hint="eastAsia"/>
        </w:rPr>
        <w:t>。</w:t>
      </w:r>
    </w:p>
    <w:p>
      <w:pPr>
        <w:numPr>
          <w:ilvl w:val="0"/>
          <w:numId w:val="9"/>
        </w:numPr>
        <w:ind w:firstLine="420" w:firstLineChars="200"/>
        <w:rPr>
          <w:highlight w:val="yellow"/>
        </w:rPr>
      </w:pPr>
      <w:r>
        <w:rPr>
          <w:rFonts w:hint="eastAsia"/>
          <w:highlight w:val="yellow"/>
        </w:rPr>
        <w:t>供应商提供的货物全部为小微企业制造的，可享受对其投标报价</w:t>
      </w:r>
      <w:r>
        <w:rPr>
          <w:b/>
          <w:color w:val="FF0000"/>
          <w:highlight w:val="yellow"/>
          <w:u w:val="single"/>
        </w:rPr>
        <w:t xml:space="preserve"> </w:t>
      </w:r>
      <w:r>
        <w:rPr>
          <w:rFonts w:hint="eastAsia"/>
          <w:b/>
          <w:color w:val="FF0000"/>
          <w:highlight w:val="yellow"/>
          <w:u w:val="single"/>
        </w:rPr>
        <w:t xml:space="preserve">6 </w:t>
      </w:r>
      <w:r>
        <w:rPr>
          <w:b/>
          <w:color w:val="FF0000"/>
          <w:highlight w:val="yellow"/>
          <w:u w:val="single"/>
        </w:rPr>
        <w:t xml:space="preserve"> </w:t>
      </w:r>
      <w:r>
        <w:rPr>
          <w:rFonts w:hint="eastAsia"/>
          <w:b/>
          <w:color w:val="FF0000"/>
          <w:highlight w:val="yellow"/>
        </w:rPr>
        <w:t>%</w:t>
      </w:r>
      <w:r>
        <w:rPr>
          <w:rFonts w:hint="eastAsia"/>
          <w:highlight w:val="yellow"/>
        </w:rPr>
        <w:t>的价格评审优惠，用扣除后的价格参加评审。</w:t>
      </w:r>
    </w:p>
    <w:p>
      <w:pPr>
        <w:numPr>
          <w:ilvl w:val="0"/>
          <w:numId w:val="9"/>
        </w:numPr>
        <w:ind w:firstLine="420" w:firstLineChars="200"/>
      </w:pPr>
      <w:r>
        <w:rPr>
          <w:rFonts w:hint="eastAsia"/>
        </w:rPr>
        <w:t>投标人组成联合体投标的，如须享受以上价格扣除政策，联合体各方须均为小微企业。联合协议中约定，小型、微型企业和监狱企业的协议合同金额占到联合体协议合同总金额30%以上且不足100%的，可给予联合体__/__%</w:t>
      </w:r>
      <w:r>
        <w:t xml:space="preserve"> </w:t>
      </w:r>
      <w:r>
        <w:rPr>
          <w:rFonts w:hint="eastAsia"/>
        </w:rPr>
        <w:t>的价格扣除。</w:t>
      </w:r>
    </w:p>
    <w:p>
      <w:pPr>
        <w:ind w:firstLine="420" w:firstLineChars="200"/>
      </w:pPr>
      <w:r>
        <w:rPr>
          <w:rFonts w:hint="eastAsia"/>
        </w:rPr>
        <w:t>（</w:t>
      </w:r>
      <w:r>
        <w:t>3</w:t>
      </w:r>
      <w:r>
        <w:rPr>
          <w:rFonts w:hint="eastAsia"/>
        </w:rPr>
        <w:t>）监狱企业、残疾人福利性单位视为小微企业，享受扶持政策。联合体各方均为小型、微型企业和监狱企业的，联合体视同为小型、微型企业和监狱企业。</w:t>
      </w:r>
    </w:p>
    <w:p>
      <w:pPr>
        <w:ind w:firstLine="420" w:firstLineChars="200"/>
      </w:pPr>
      <w:r>
        <w:rPr>
          <w:rFonts w:hint="eastAsia"/>
        </w:rPr>
        <w:t>（</w:t>
      </w:r>
      <w:r>
        <w:t>4</w:t>
      </w:r>
      <w:r>
        <w:rPr>
          <w:rFonts w:hint="eastAsia"/>
        </w:rPr>
        <w:t>）享受中小企业扶持政策的供应商应如实填写《中小企业声明函》、《残疾人福利性单位声明函》、《监狱企业声明函》等承诺性质的资料（声明函样式见本招标文件第一册第三章“投标文件格式、附件”中“四、投标人情况介绍”章节提供的格式）；监狱企业或者代理提供监狱企业货物的供应商如须享受中小企业扶持政策的，除上述资料外，还须提供省级以上监狱管理局、戒毒管理局（含新疆生产建设兵团）出具的监狱企业证明文件。</w:t>
      </w:r>
    </w:p>
    <w:p>
      <w:pPr>
        <w:ind w:firstLine="420" w:firstLineChars="200"/>
      </w:pPr>
      <w:r>
        <w:rPr>
          <w:rFonts w:hint="eastAsia"/>
        </w:rPr>
        <w:t>（</w:t>
      </w:r>
      <w:r>
        <w:t>5</w:t>
      </w:r>
      <w:r>
        <w:rPr>
          <w:rFonts w:hint="eastAsia"/>
        </w:rPr>
        <w:t>）供应商不重复享受多项价格评审优惠政策。</w:t>
      </w:r>
    </w:p>
    <w:p>
      <w:pPr>
        <w:ind w:firstLine="422" w:firstLineChars="200"/>
      </w:pPr>
      <w:r>
        <w:rPr>
          <w:rFonts w:hint="eastAsia"/>
          <w:b/>
          <w:bCs/>
          <w:color w:val="FF0000"/>
        </w:rPr>
        <w:t>相关中小企业扶持政策具体以</w:t>
      </w:r>
      <w:r>
        <w:rPr>
          <w:rFonts w:hint="eastAsia" w:ascii="宋体" w:hAnsi="宋体"/>
          <w:b/>
          <w:bCs/>
          <w:color w:val="FF0000"/>
          <w:szCs w:val="21"/>
        </w:rPr>
        <w:t>《政府采购促进中小企业发展管理办法》（财库〔2020〕46号）等最新规定为准。</w:t>
      </w:r>
    </w:p>
    <w:p>
      <w:pPr>
        <w:jc w:val="center"/>
        <w:rPr>
          <w:b/>
        </w:rPr>
      </w:pPr>
      <w:r>
        <w:rPr>
          <w:rFonts w:hint="eastAsia"/>
          <w:b/>
        </w:rPr>
        <w:t>三、其他说明</w:t>
      </w:r>
    </w:p>
    <w:p>
      <w:pPr>
        <w:ind w:firstLine="435"/>
        <w:jc w:val="left"/>
      </w:pPr>
      <w:r>
        <w:rPr>
          <w:rFonts w:hint="eastAsia"/>
        </w:rPr>
        <w:t>根据《深圳市财政局 深圳市政府采购中心关于印发&lt;深圳市政府采购落实支持企业复工复产政策的实施细则&gt;的通知》（深府购〔</w:t>
      </w:r>
      <w:r>
        <w:t>20</w:t>
      </w:r>
      <w:r>
        <w:rPr>
          <w:rFonts w:hint="eastAsia"/>
        </w:rPr>
        <w:t>20〕24号）的规定，1.鼓励采购人积极运用公共信用信息，明确对信用记录良好的投标人（特别是中小微企业）免收履约保证金，确需收取履约保证金的，列明通过保函等非现金方式收取；2.在采购合同中明确对上述企业加大首付款或预付款比例，具体由采购人根据项目实际情况确定。</w:t>
      </w:r>
    </w:p>
    <w:p>
      <w:pPr>
        <w:ind w:firstLine="435"/>
        <w:jc w:val="left"/>
      </w:pPr>
      <w:r>
        <w:rPr>
          <w:rFonts w:hint="eastAsia"/>
        </w:rPr>
        <w:t>采购人拟采购的产品属于《关于调整优化节能产品环境标志产品政府采购执行机制的通知》（财库〔2019〕9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ind w:firstLine="435"/>
        <w:jc w:val="left"/>
      </w:pPr>
      <w:r>
        <w:rPr>
          <w:rFonts w:hint="eastAsia"/>
        </w:rPr>
        <w:t>招标文件解释权归政府集中采购机构，招标文件涉及到的采购需求部分等内容由政府集中采购机构责成采购单位解释。</w:t>
      </w:r>
      <w:r>
        <w:rPr>
          <w:rFonts w:hint="eastAsia"/>
          <w:b/>
          <w:color w:val="FF0000"/>
        </w:rPr>
        <w:t>采购单位对采购需求的完整性和真实性负责。</w:t>
      </w:r>
    </w:p>
    <w:bookmarkEnd w:id="1"/>
    <w:p>
      <w:pPr>
        <w:jc w:val="center"/>
        <w:rPr>
          <w:rFonts w:ascii="宋体" w:hAnsi="宋体" w:cs="宋体"/>
          <w:b/>
          <w:color w:val="FF0000"/>
          <w:szCs w:val="21"/>
        </w:rPr>
      </w:pPr>
      <w:r>
        <w:rPr>
          <w:rFonts w:hint="eastAsia"/>
          <w:b/>
          <w:color w:val="FF0000"/>
        </w:rPr>
        <w:t>四、代理服务费</w:t>
      </w:r>
    </w:p>
    <w:p>
      <w:pPr>
        <w:spacing w:before="50" w:after="50"/>
        <w:ind w:firstLine="420" w:firstLineChars="200"/>
        <w:rPr>
          <w:rFonts w:ascii="宋体" w:hAnsi="宋体" w:cs="宋体"/>
          <w:color w:val="FF0000"/>
          <w:szCs w:val="21"/>
        </w:rPr>
      </w:pPr>
      <w:r>
        <w:rPr>
          <w:rFonts w:hint="eastAsia" w:ascii="宋体" w:hAnsi="宋体" w:cs="宋体"/>
          <w:color w:val="FF0000"/>
          <w:szCs w:val="21"/>
        </w:rPr>
        <w:t>中标供应商在领取《中标通知书》之前须向深圳交易集团有限公司交纳代理服务费。若因中标供应商交纳代理服务费所产生的时间影响到合同签订的，由中标供应商自行承担责任。代理服务费标准参照深交易〔2020〕123 号文收取。本项目类型为货物类：</w:t>
      </w:r>
    </w:p>
    <w:p>
      <w:pPr>
        <w:tabs>
          <w:tab w:val="left" w:pos="1182"/>
        </w:tabs>
        <w:ind w:left="360" w:right="-317" w:rightChars="-151"/>
        <w:rPr>
          <w:rFonts w:ascii="宋体" w:hAnsi="宋体" w:cs="宋体"/>
          <w:bCs/>
          <w:color w:val="FF0000"/>
          <w:spacing w:val="-4"/>
          <w:szCs w:val="21"/>
        </w:rPr>
      </w:pPr>
      <w:r>
        <w:rPr>
          <w:rFonts w:hint="eastAsia" w:ascii="宋体" w:hAnsi="宋体" w:cs="宋体"/>
          <w:bCs/>
          <w:color w:val="FF0000"/>
          <w:spacing w:val="-4"/>
          <w:szCs w:val="21"/>
        </w:rPr>
        <w:t>（一）代理服务费以《中标通知书》确定的中标金额作为计算基数，按差额定率累进法计算。</w:t>
      </w:r>
    </w:p>
    <w:p>
      <w:pPr>
        <w:tabs>
          <w:tab w:val="left" w:pos="1182"/>
        </w:tabs>
        <w:ind w:left="360" w:right="-317" w:rightChars="-151"/>
        <w:rPr>
          <w:rFonts w:ascii="宋体" w:hAnsi="宋体" w:cs="宋体"/>
          <w:bCs/>
          <w:color w:val="FF0000"/>
          <w:spacing w:val="-4"/>
          <w:szCs w:val="21"/>
        </w:rPr>
      </w:pPr>
      <w:r>
        <w:rPr>
          <w:rFonts w:hint="eastAsia" w:ascii="宋体" w:hAnsi="宋体" w:cs="宋体"/>
          <w:bCs/>
          <w:color w:val="FF0000"/>
          <w:spacing w:val="-4"/>
          <w:szCs w:val="21"/>
        </w:rPr>
        <w:t>（二）中标金额的各部分费率如下表：</w:t>
      </w:r>
    </w:p>
    <w:tbl>
      <w:tblPr>
        <w:tblStyle w:val="43"/>
        <w:tblW w:w="7161" w:type="dxa"/>
        <w:jc w:val="center"/>
        <w:tblLayout w:type="fixed"/>
        <w:tblCellMar>
          <w:top w:w="0" w:type="dxa"/>
          <w:left w:w="108" w:type="dxa"/>
          <w:bottom w:w="0" w:type="dxa"/>
          <w:right w:w="108" w:type="dxa"/>
        </w:tblCellMar>
      </w:tblPr>
      <w:tblGrid>
        <w:gridCol w:w="2887"/>
        <w:gridCol w:w="1440"/>
        <w:gridCol w:w="1395"/>
        <w:gridCol w:w="1439"/>
      </w:tblGrid>
      <w:tr>
        <w:trPr>
          <w:trHeight w:val="737" w:hRule="atLeast"/>
          <w:jc w:val="center"/>
        </w:trPr>
        <w:tc>
          <w:tcPr>
            <w:tcW w:w="2887"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before="120" w:beforeLines="50" w:after="120" w:afterLines="50" w:line="240" w:lineRule="exact"/>
              <w:ind w:firstLine="1470" w:firstLineChars="700"/>
              <w:jc w:val="left"/>
              <w:rPr>
                <w:rFonts w:ascii="宋体" w:hAnsi="宋体" w:cs="仿宋_GB2312"/>
                <w:bCs/>
                <w:color w:val="FF0000"/>
                <w:kern w:val="0"/>
                <w:szCs w:val="21"/>
              </w:rPr>
            </w:pPr>
            <w:r>
              <w:rPr>
                <w:rFonts w:hint="eastAsia" w:ascii="宋体" w:hAnsi="宋体" w:cs="仿宋_GB2312"/>
                <w:bCs/>
                <w:color w:val="FF0000"/>
                <w:kern w:val="0"/>
                <w:szCs w:val="21"/>
              </w:rPr>
              <w:t>类别</w:t>
            </w:r>
          </w:p>
          <w:p>
            <w:pPr>
              <w:widowControl/>
              <w:spacing w:before="120" w:beforeLines="50" w:after="120" w:afterLines="50" w:line="240" w:lineRule="exact"/>
              <w:jc w:val="left"/>
              <w:rPr>
                <w:rFonts w:ascii="宋体" w:hAnsi="宋体" w:cs="仿宋_GB2312"/>
                <w:bCs/>
                <w:color w:val="FF0000"/>
                <w:kern w:val="0"/>
                <w:szCs w:val="21"/>
              </w:rPr>
            </w:pPr>
            <w:r>
              <w:rPr>
                <w:rFonts w:hint="eastAsia" w:ascii="宋体" w:hAnsi="宋体" w:cs="仿宋_GB2312"/>
                <w:bCs/>
                <w:color w:val="FF0000"/>
                <w:kern w:val="0"/>
                <w:szCs w:val="21"/>
              </w:rPr>
              <w:t>金额(万元)</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工程招标</w:t>
            </w:r>
          </w:p>
        </w:tc>
        <w:tc>
          <w:tcPr>
            <w:tcW w:w="1395" w:type="dxa"/>
            <w:tcBorders>
              <w:top w:val="single" w:color="auto" w:sz="4" w:space="0"/>
              <w:left w:val="nil"/>
              <w:bottom w:val="single" w:color="auto" w:sz="4" w:space="0"/>
              <w:right w:val="single" w:color="auto" w:sz="4" w:space="0"/>
            </w:tcBorders>
            <w:vAlign w:val="center"/>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货物招标</w:t>
            </w:r>
          </w:p>
        </w:tc>
        <w:tc>
          <w:tcPr>
            <w:tcW w:w="1439" w:type="dxa"/>
            <w:tcBorders>
              <w:top w:val="single" w:color="auto" w:sz="4" w:space="0"/>
              <w:left w:val="nil"/>
              <w:bottom w:val="single" w:color="auto" w:sz="4" w:space="0"/>
              <w:right w:val="single" w:color="auto" w:sz="4" w:space="0"/>
            </w:tcBorders>
            <w:vAlign w:val="center"/>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服务招标</w:t>
            </w:r>
          </w:p>
        </w:tc>
      </w:tr>
      <w:tr>
        <w:tblPrEx>
          <w:tblCellMar>
            <w:top w:w="0" w:type="dxa"/>
            <w:left w:w="108" w:type="dxa"/>
            <w:bottom w:w="0" w:type="dxa"/>
            <w:right w:w="108" w:type="dxa"/>
          </w:tblCellMar>
        </w:tblPrEx>
        <w:trPr>
          <w:trHeight w:val="402" w:hRule="atLeast"/>
          <w:jc w:val="center"/>
        </w:trPr>
        <w:tc>
          <w:tcPr>
            <w:tcW w:w="2887" w:type="dxa"/>
            <w:tcBorders>
              <w:top w:val="single" w:color="auto" w:sz="4"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100以下</w:t>
            </w:r>
          </w:p>
        </w:tc>
        <w:tc>
          <w:tcPr>
            <w:tcW w:w="1440"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w:t>
            </w:r>
          </w:p>
        </w:tc>
        <w:tc>
          <w:tcPr>
            <w:tcW w:w="1395"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1.50%</w:t>
            </w:r>
          </w:p>
        </w:tc>
        <w:tc>
          <w:tcPr>
            <w:tcW w:w="1439"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1.50%</w:t>
            </w:r>
          </w:p>
        </w:tc>
      </w:tr>
      <w:tr>
        <w:tblPrEx>
          <w:tblCellMar>
            <w:top w:w="0" w:type="dxa"/>
            <w:left w:w="108" w:type="dxa"/>
            <w:bottom w:w="0" w:type="dxa"/>
            <w:right w:w="108" w:type="dxa"/>
          </w:tblCellMar>
        </w:tblPrEx>
        <w:trPr>
          <w:trHeight w:val="402" w:hRule="atLeast"/>
          <w:jc w:val="center"/>
        </w:trPr>
        <w:tc>
          <w:tcPr>
            <w:tcW w:w="2887" w:type="dxa"/>
            <w:tcBorders>
              <w:top w:val="nil"/>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100-500</w:t>
            </w:r>
          </w:p>
        </w:tc>
        <w:tc>
          <w:tcPr>
            <w:tcW w:w="1440"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0.70%</w:t>
            </w:r>
          </w:p>
        </w:tc>
        <w:tc>
          <w:tcPr>
            <w:tcW w:w="1395"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1.10%</w:t>
            </w:r>
          </w:p>
        </w:tc>
        <w:tc>
          <w:tcPr>
            <w:tcW w:w="1439"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0.80%</w:t>
            </w:r>
          </w:p>
        </w:tc>
      </w:tr>
      <w:tr>
        <w:trPr>
          <w:trHeight w:val="402" w:hRule="atLeast"/>
          <w:jc w:val="center"/>
        </w:trPr>
        <w:tc>
          <w:tcPr>
            <w:tcW w:w="2887" w:type="dxa"/>
            <w:tcBorders>
              <w:top w:val="nil"/>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500-1000</w:t>
            </w:r>
          </w:p>
        </w:tc>
        <w:tc>
          <w:tcPr>
            <w:tcW w:w="1440"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0.55%</w:t>
            </w:r>
          </w:p>
        </w:tc>
        <w:tc>
          <w:tcPr>
            <w:tcW w:w="1395"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0.80%</w:t>
            </w:r>
          </w:p>
        </w:tc>
        <w:tc>
          <w:tcPr>
            <w:tcW w:w="1439"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0.45%</w:t>
            </w:r>
          </w:p>
        </w:tc>
      </w:tr>
      <w:tr>
        <w:tblPrEx>
          <w:tblCellMar>
            <w:top w:w="0" w:type="dxa"/>
            <w:left w:w="108" w:type="dxa"/>
            <w:bottom w:w="0" w:type="dxa"/>
            <w:right w:w="108" w:type="dxa"/>
          </w:tblCellMar>
        </w:tblPrEx>
        <w:trPr>
          <w:trHeight w:val="402" w:hRule="atLeast"/>
          <w:jc w:val="center"/>
        </w:trPr>
        <w:tc>
          <w:tcPr>
            <w:tcW w:w="2887" w:type="dxa"/>
            <w:tcBorders>
              <w:top w:val="nil"/>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1000-5000</w:t>
            </w:r>
          </w:p>
        </w:tc>
        <w:tc>
          <w:tcPr>
            <w:tcW w:w="1440"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0.35%</w:t>
            </w:r>
          </w:p>
        </w:tc>
        <w:tc>
          <w:tcPr>
            <w:tcW w:w="1395"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0.50%</w:t>
            </w:r>
          </w:p>
        </w:tc>
        <w:tc>
          <w:tcPr>
            <w:tcW w:w="1439"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0.25%</w:t>
            </w:r>
          </w:p>
        </w:tc>
      </w:tr>
      <w:tr>
        <w:tblPrEx>
          <w:tblCellMar>
            <w:top w:w="0" w:type="dxa"/>
            <w:left w:w="108" w:type="dxa"/>
            <w:bottom w:w="0" w:type="dxa"/>
            <w:right w:w="108" w:type="dxa"/>
          </w:tblCellMar>
        </w:tblPrEx>
        <w:trPr>
          <w:trHeight w:val="402" w:hRule="atLeast"/>
          <w:jc w:val="center"/>
        </w:trPr>
        <w:tc>
          <w:tcPr>
            <w:tcW w:w="2887" w:type="dxa"/>
            <w:tcBorders>
              <w:top w:val="nil"/>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5000-10000</w:t>
            </w:r>
          </w:p>
        </w:tc>
        <w:tc>
          <w:tcPr>
            <w:tcW w:w="1440"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0.20%</w:t>
            </w:r>
          </w:p>
        </w:tc>
        <w:tc>
          <w:tcPr>
            <w:tcW w:w="1395"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0.25%</w:t>
            </w:r>
          </w:p>
        </w:tc>
        <w:tc>
          <w:tcPr>
            <w:tcW w:w="1439"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0.10%</w:t>
            </w:r>
          </w:p>
        </w:tc>
      </w:tr>
      <w:tr>
        <w:tblPrEx>
          <w:tblCellMar>
            <w:top w:w="0" w:type="dxa"/>
            <w:left w:w="108" w:type="dxa"/>
            <w:bottom w:w="0" w:type="dxa"/>
            <w:right w:w="108" w:type="dxa"/>
          </w:tblCellMar>
        </w:tblPrEx>
        <w:trPr>
          <w:trHeight w:val="402" w:hRule="atLeast"/>
          <w:jc w:val="center"/>
        </w:trPr>
        <w:tc>
          <w:tcPr>
            <w:tcW w:w="2887" w:type="dxa"/>
            <w:tcBorders>
              <w:top w:val="nil"/>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10000-50000</w:t>
            </w:r>
          </w:p>
        </w:tc>
        <w:tc>
          <w:tcPr>
            <w:tcW w:w="1440"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0.05%</w:t>
            </w:r>
          </w:p>
        </w:tc>
        <w:tc>
          <w:tcPr>
            <w:tcW w:w="1395"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0.05%</w:t>
            </w:r>
          </w:p>
        </w:tc>
        <w:tc>
          <w:tcPr>
            <w:tcW w:w="1439" w:type="dxa"/>
            <w:tcBorders>
              <w:top w:val="nil"/>
              <w:left w:val="nil"/>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0.05%</w:t>
            </w:r>
          </w:p>
        </w:tc>
      </w:tr>
      <w:tr>
        <w:tblPrEx>
          <w:tblCellMar>
            <w:top w:w="0" w:type="dxa"/>
            <w:left w:w="108" w:type="dxa"/>
            <w:bottom w:w="0" w:type="dxa"/>
            <w:right w:w="108" w:type="dxa"/>
          </w:tblCellMar>
        </w:tblPrEx>
        <w:trPr>
          <w:trHeight w:val="402" w:hRule="atLeast"/>
          <w:jc w:val="center"/>
        </w:trPr>
        <w:tc>
          <w:tcPr>
            <w:tcW w:w="2887"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50000-100000</w:t>
            </w:r>
          </w:p>
        </w:tc>
        <w:tc>
          <w:tcPr>
            <w:tcW w:w="1440"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0.035%</w:t>
            </w:r>
          </w:p>
        </w:tc>
        <w:tc>
          <w:tcPr>
            <w:tcW w:w="1395"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0.035%</w:t>
            </w:r>
          </w:p>
        </w:tc>
        <w:tc>
          <w:tcPr>
            <w:tcW w:w="1439"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0.035%</w:t>
            </w:r>
          </w:p>
        </w:tc>
      </w:tr>
      <w:tr>
        <w:tblPrEx>
          <w:tblCellMar>
            <w:top w:w="0" w:type="dxa"/>
            <w:left w:w="108" w:type="dxa"/>
            <w:bottom w:w="0" w:type="dxa"/>
            <w:right w:w="108" w:type="dxa"/>
          </w:tblCellMar>
        </w:tblPrEx>
        <w:trPr>
          <w:trHeight w:val="402" w:hRule="atLeast"/>
          <w:jc w:val="center"/>
        </w:trPr>
        <w:tc>
          <w:tcPr>
            <w:tcW w:w="2887"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100000-500000</w:t>
            </w:r>
          </w:p>
        </w:tc>
        <w:tc>
          <w:tcPr>
            <w:tcW w:w="1440"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0.008%</w:t>
            </w:r>
          </w:p>
        </w:tc>
        <w:tc>
          <w:tcPr>
            <w:tcW w:w="1395"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0.008%</w:t>
            </w:r>
          </w:p>
        </w:tc>
        <w:tc>
          <w:tcPr>
            <w:tcW w:w="1439"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0.008%</w:t>
            </w:r>
          </w:p>
        </w:tc>
      </w:tr>
      <w:tr>
        <w:tblPrEx>
          <w:tblCellMar>
            <w:top w:w="0" w:type="dxa"/>
            <w:left w:w="108" w:type="dxa"/>
            <w:bottom w:w="0" w:type="dxa"/>
            <w:right w:w="108" w:type="dxa"/>
          </w:tblCellMar>
        </w:tblPrEx>
        <w:trPr>
          <w:trHeight w:val="402" w:hRule="atLeast"/>
          <w:jc w:val="center"/>
        </w:trPr>
        <w:tc>
          <w:tcPr>
            <w:tcW w:w="2887"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500000-1000000</w:t>
            </w:r>
          </w:p>
        </w:tc>
        <w:tc>
          <w:tcPr>
            <w:tcW w:w="1440"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0.006%</w:t>
            </w:r>
          </w:p>
        </w:tc>
        <w:tc>
          <w:tcPr>
            <w:tcW w:w="1395"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0.006%</w:t>
            </w:r>
          </w:p>
        </w:tc>
        <w:tc>
          <w:tcPr>
            <w:tcW w:w="1439"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0.006%</w:t>
            </w:r>
          </w:p>
        </w:tc>
      </w:tr>
      <w:tr>
        <w:tblPrEx>
          <w:tblCellMar>
            <w:top w:w="0" w:type="dxa"/>
            <w:left w:w="108" w:type="dxa"/>
            <w:bottom w:w="0" w:type="dxa"/>
            <w:right w:w="108" w:type="dxa"/>
          </w:tblCellMar>
        </w:tblPrEx>
        <w:trPr>
          <w:trHeight w:val="402" w:hRule="atLeast"/>
          <w:jc w:val="center"/>
        </w:trPr>
        <w:tc>
          <w:tcPr>
            <w:tcW w:w="2887"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1000000以上</w:t>
            </w:r>
          </w:p>
        </w:tc>
        <w:tc>
          <w:tcPr>
            <w:tcW w:w="1440"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0.004%</w:t>
            </w:r>
          </w:p>
        </w:tc>
        <w:tc>
          <w:tcPr>
            <w:tcW w:w="1395"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0.004%</w:t>
            </w:r>
          </w:p>
        </w:tc>
        <w:tc>
          <w:tcPr>
            <w:tcW w:w="1439" w:type="dxa"/>
            <w:tcBorders>
              <w:top w:val="single" w:color="auto" w:sz="8" w:space="0"/>
              <w:left w:val="single" w:color="auto" w:sz="8" w:space="0"/>
              <w:bottom w:val="single" w:color="auto" w:sz="8" w:space="0"/>
              <w:right w:val="single" w:color="auto" w:sz="8" w:space="0"/>
            </w:tcBorders>
          </w:tcPr>
          <w:p>
            <w:pPr>
              <w:widowControl/>
              <w:spacing w:before="120" w:beforeLines="50" w:after="120" w:afterLines="50" w:line="240" w:lineRule="exact"/>
              <w:jc w:val="center"/>
              <w:rPr>
                <w:rFonts w:ascii="宋体" w:hAnsi="宋体" w:cs="仿宋_GB2312"/>
                <w:bCs/>
                <w:color w:val="FF0000"/>
                <w:kern w:val="0"/>
                <w:szCs w:val="21"/>
              </w:rPr>
            </w:pPr>
            <w:r>
              <w:rPr>
                <w:rFonts w:hint="eastAsia" w:ascii="宋体" w:hAnsi="宋体" w:cs="仿宋_GB2312"/>
                <w:bCs/>
                <w:color w:val="FF0000"/>
                <w:kern w:val="0"/>
                <w:szCs w:val="21"/>
              </w:rPr>
              <w:t>0.004%</w:t>
            </w:r>
          </w:p>
        </w:tc>
      </w:tr>
    </w:tbl>
    <w:p>
      <w:pPr>
        <w:ind w:firstLine="420" w:firstLineChars="200"/>
        <w:rPr>
          <w:rFonts w:ascii="宋体" w:hAnsi="宋体" w:cs="宋体"/>
          <w:color w:val="FF0000"/>
          <w:szCs w:val="21"/>
        </w:rPr>
      </w:pPr>
      <w:r>
        <w:rPr>
          <w:rFonts w:hint="eastAsia" w:ascii="宋体" w:hAnsi="宋体" w:cs="宋体"/>
          <w:color w:val="FF0000"/>
          <w:szCs w:val="21"/>
        </w:rPr>
        <w:t>如某货物招标项目，中标金额为600万，需交纳的代理服务费具体计算如下：</w:t>
      </w:r>
    </w:p>
    <w:p>
      <w:pPr>
        <w:ind w:firstLine="420" w:firstLineChars="200"/>
        <w:rPr>
          <w:rFonts w:ascii="宋体" w:hAnsi="宋体" w:cs="宋体"/>
          <w:color w:val="FF0000"/>
          <w:szCs w:val="21"/>
        </w:rPr>
      </w:pPr>
      <w:r>
        <w:rPr>
          <w:rFonts w:hint="eastAsia" w:ascii="宋体" w:hAnsi="宋体" w:cs="宋体"/>
          <w:color w:val="FF0000"/>
          <w:szCs w:val="21"/>
        </w:rPr>
        <w:t>代理服务费＝（100万以下部分的代理服务费）+（100万～500万部分的代理服务费）+（500万～600万部分的代理服务费）＝100万元×1.5%+（500-100）万元×1.1%+（600-500）万元×0.8%=1.5万元+4.4万元+0.8万元＝6.7万元</w:t>
      </w:r>
    </w:p>
    <w:p>
      <w:pPr>
        <w:ind w:firstLine="420" w:firstLineChars="200"/>
        <w:rPr>
          <w:rFonts w:ascii="宋体" w:hAnsi="宋体" w:cs="宋体"/>
          <w:color w:val="FF0000"/>
          <w:szCs w:val="21"/>
        </w:rPr>
      </w:pPr>
      <w:r>
        <w:rPr>
          <w:rFonts w:hint="eastAsia" w:ascii="宋体" w:hAnsi="宋体" w:cs="宋体"/>
          <w:color w:val="FF0000"/>
          <w:szCs w:val="21"/>
        </w:rPr>
        <w:t>（三）每宗交易代理服务费不低于8000元；</w:t>
      </w:r>
    </w:p>
    <w:p>
      <w:pPr>
        <w:ind w:firstLine="420" w:firstLineChars="200"/>
        <w:rPr>
          <w:rFonts w:ascii="宋体" w:hAnsi="宋体" w:cs="宋体"/>
          <w:color w:val="FF0000"/>
          <w:szCs w:val="21"/>
        </w:rPr>
      </w:pPr>
      <w:r>
        <w:rPr>
          <w:rFonts w:hint="eastAsia" w:ascii="宋体" w:hAnsi="宋体" w:cs="宋体"/>
          <w:color w:val="FF0000"/>
          <w:szCs w:val="21"/>
        </w:rPr>
        <w:t>（四）中标供应商中标后，必须按规定采用银行对公转账方式向深圳交易集团有限公司直接交纳代理服务费，交纳信息及要求按以下规定执行：</w:t>
      </w:r>
    </w:p>
    <w:p>
      <w:pPr>
        <w:ind w:firstLine="422" w:firstLineChars="200"/>
        <w:rPr>
          <w:rFonts w:ascii="宋体" w:hAnsi="宋体" w:cs="宋体"/>
          <w:bCs/>
          <w:color w:val="FF0000"/>
          <w:szCs w:val="21"/>
        </w:rPr>
      </w:pPr>
      <w:r>
        <w:rPr>
          <w:rFonts w:hint="eastAsia" w:ascii="宋体" w:hAnsi="宋体" w:cs="宋体"/>
          <w:b/>
          <w:bCs/>
          <w:color w:val="FF0000"/>
          <w:szCs w:val="21"/>
        </w:rPr>
        <w:t>基本户信息：</w:t>
      </w:r>
    </w:p>
    <w:p>
      <w:pPr>
        <w:ind w:firstLine="420" w:firstLineChars="200"/>
        <w:rPr>
          <w:rFonts w:ascii="宋体" w:hAnsi="宋体" w:cs="宋体"/>
          <w:color w:val="FF0000"/>
          <w:szCs w:val="21"/>
        </w:rPr>
      </w:pPr>
      <w:r>
        <w:rPr>
          <w:rFonts w:hint="eastAsia" w:ascii="宋体" w:hAnsi="宋体" w:cs="宋体"/>
          <w:color w:val="FF0000"/>
          <w:szCs w:val="21"/>
        </w:rPr>
        <w:t>账户名：深圳交易集团有限公司</w:t>
      </w:r>
    </w:p>
    <w:p>
      <w:pPr>
        <w:ind w:firstLine="420" w:firstLineChars="200"/>
        <w:rPr>
          <w:rFonts w:ascii="宋体" w:hAnsi="宋体" w:cs="宋体"/>
          <w:color w:val="FF0000"/>
          <w:szCs w:val="21"/>
        </w:rPr>
      </w:pPr>
      <w:r>
        <w:rPr>
          <w:rFonts w:hint="eastAsia" w:ascii="宋体" w:hAnsi="宋体" w:cs="宋体"/>
          <w:color w:val="FF0000"/>
          <w:szCs w:val="21"/>
        </w:rPr>
        <w:t>账号：632765883</w:t>
      </w:r>
    </w:p>
    <w:p>
      <w:pPr>
        <w:ind w:firstLine="420" w:firstLineChars="200"/>
        <w:rPr>
          <w:rFonts w:ascii="宋体" w:hAnsi="宋体" w:cs="宋体"/>
          <w:color w:val="FF0000"/>
          <w:szCs w:val="21"/>
        </w:rPr>
      </w:pPr>
      <w:r>
        <w:rPr>
          <w:rFonts w:hint="eastAsia" w:ascii="宋体" w:hAnsi="宋体" w:cs="宋体"/>
          <w:color w:val="FF0000"/>
          <w:szCs w:val="21"/>
        </w:rPr>
        <w:t>开户行：民生银行深圳五洲支行</w:t>
      </w:r>
    </w:p>
    <w:p>
      <w:pPr>
        <w:ind w:firstLine="422" w:firstLineChars="200"/>
        <w:rPr>
          <w:rFonts w:ascii="宋体" w:hAnsi="宋体" w:cs="宋体"/>
          <w:bCs/>
          <w:color w:val="FF0000"/>
          <w:szCs w:val="21"/>
        </w:rPr>
      </w:pPr>
      <w:r>
        <w:rPr>
          <w:rFonts w:hint="eastAsia" w:ascii="宋体" w:hAnsi="宋体" w:cs="宋体"/>
          <w:b/>
          <w:bCs/>
          <w:color w:val="FF0000"/>
          <w:szCs w:val="21"/>
        </w:rPr>
        <w:t>转账备注：</w:t>
      </w:r>
    </w:p>
    <w:p>
      <w:pPr>
        <w:ind w:firstLine="420" w:firstLineChars="200"/>
        <w:rPr>
          <w:rFonts w:ascii="宋体" w:hAnsi="宋体" w:cs="宋体"/>
          <w:bCs/>
          <w:color w:val="FF0000"/>
          <w:szCs w:val="21"/>
        </w:rPr>
      </w:pPr>
      <w:r>
        <w:rPr>
          <w:rFonts w:hint="eastAsia" w:ascii="宋体" w:hAnsi="宋体" w:cs="宋体"/>
          <w:bCs/>
          <w:color w:val="FF0000"/>
          <w:szCs w:val="21"/>
        </w:rPr>
        <w:t>项目编号+项目名称+中标金额+中标供应商名称</w:t>
      </w:r>
    </w:p>
    <w:p>
      <w:pPr>
        <w:widowControl/>
        <w:jc w:val="left"/>
        <w:rPr>
          <w:rFonts w:ascii="宋体" w:hAnsi="宋体" w:cs="宋体"/>
          <w:bCs/>
          <w:color w:val="FF0000"/>
          <w:szCs w:val="21"/>
        </w:rPr>
      </w:pPr>
      <w:r>
        <w:rPr>
          <w:rFonts w:ascii="宋体" w:hAnsi="宋体" w:cs="宋体"/>
          <w:bCs/>
          <w:color w:val="FF0000"/>
          <w:szCs w:val="21"/>
        </w:rPr>
        <w:br w:type="page"/>
      </w:r>
    </w:p>
    <w:p>
      <w:pPr>
        <w:ind w:firstLine="420" w:firstLineChars="200"/>
        <w:rPr>
          <w:rFonts w:ascii="宋体" w:hAnsi="宋体" w:cs="宋体"/>
          <w:bCs/>
          <w:color w:val="FF0000"/>
          <w:szCs w:val="21"/>
        </w:rPr>
      </w:pPr>
    </w:p>
    <w:p>
      <w:pPr>
        <w:pStyle w:val="2"/>
      </w:pPr>
      <w:r>
        <w:rPr>
          <w:rFonts w:hint="eastAsia"/>
        </w:rPr>
        <w:t>目   录</w:t>
      </w:r>
    </w:p>
    <w:p>
      <w:pPr>
        <w:rPr>
          <w:b/>
          <w:sz w:val="24"/>
        </w:rPr>
      </w:pPr>
      <w:r>
        <w:rPr>
          <w:rFonts w:hint="eastAsia"/>
          <w:b/>
          <w:sz w:val="24"/>
        </w:rPr>
        <w:t>第一册  专用条款</w:t>
      </w:r>
    </w:p>
    <w:p>
      <w:pPr>
        <w:rPr>
          <w:sz w:val="24"/>
        </w:rPr>
      </w:pPr>
      <w:r>
        <w:rPr>
          <w:rFonts w:hint="eastAsia"/>
          <w:sz w:val="24"/>
        </w:rPr>
        <w:t xml:space="preserve">          关键信息</w:t>
      </w:r>
    </w:p>
    <w:p>
      <w:pPr>
        <w:ind w:left="630" w:leftChars="300" w:firstLine="630" w:firstLineChars="300"/>
        <w:rPr>
          <w:rFonts w:ascii="宋体" w:hAnsi="宋体"/>
          <w:szCs w:val="21"/>
        </w:rPr>
      </w:pPr>
      <w:r>
        <w:rPr>
          <w:rFonts w:hint="eastAsia" w:ascii="宋体" w:hAnsi="宋体"/>
          <w:szCs w:val="21"/>
        </w:rPr>
        <w:t>第一章  招标公告</w:t>
      </w:r>
    </w:p>
    <w:p>
      <w:pPr>
        <w:ind w:left="630" w:leftChars="300" w:firstLine="630" w:firstLineChars="300"/>
        <w:rPr>
          <w:rFonts w:ascii="宋体" w:hAnsi="宋体"/>
          <w:szCs w:val="21"/>
        </w:rPr>
      </w:pPr>
      <w:r>
        <w:rPr>
          <w:rFonts w:hint="eastAsia" w:ascii="宋体" w:hAnsi="宋体"/>
          <w:szCs w:val="21"/>
        </w:rPr>
        <w:t>第二章  招标项目需求</w:t>
      </w:r>
    </w:p>
    <w:p>
      <w:pPr>
        <w:ind w:left="630" w:leftChars="300" w:firstLine="630" w:firstLineChars="300"/>
        <w:rPr>
          <w:rFonts w:ascii="宋体" w:hAnsi="宋体"/>
          <w:szCs w:val="21"/>
        </w:rPr>
      </w:pPr>
      <w:r>
        <w:rPr>
          <w:rFonts w:hint="eastAsia" w:ascii="宋体" w:hAnsi="宋体"/>
          <w:szCs w:val="21"/>
        </w:rPr>
        <w:t>第三章  投标文件格式、附件</w:t>
      </w:r>
    </w:p>
    <w:p>
      <w:pPr>
        <w:ind w:left="630" w:leftChars="300" w:firstLine="630" w:firstLineChars="300"/>
        <w:rPr>
          <w:rFonts w:ascii="宋体" w:hAnsi="宋体"/>
          <w:szCs w:val="21"/>
        </w:rPr>
      </w:pPr>
      <w:r>
        <w:rPr>
          <w:rFonts w:hint="eastAsia" w:ascii="宋体" w:hAnsi="宋体"/>
          <w:szCs w:val="21"/>
        </w:rPr>
        <w:t>第四章  政府采购合同的签订、履行及验收</w:t>
      </w:r>
    </w:p>
    <w:p>
      <w:pPr>
        <w:rPr>
          <w:b/>
          <w:sz w:val="24"/>
        </w:rPr>
      </w:pPr>
    </w:p>
    <w:p>
      <w:pPr>
        <w:rPr>
          <w:b/>
          <w:sz w:val="24"/>
        </w:rPr>
      </w:pPr>
      <w:r>
        <w:rPr>
          <w:rFonts w:hint="eastAsia"/>
          <w:b/>
          <w:sz w:val="24"/>
        </w:rPr>
        <w:t>第二册  通用条款</w:t>
      </w:r>
    </w:p>
    <w:p>
      <w:pPr>
        <w:wordWrap w:val="0"/>
        <w:ind w:firstLine="420" w:firstLineChars="200"/>
        <w:rPr>
          <w:rFonts w:ascii="宋体" w:hAnsi="宋体"/>
          <w:szCs w:val="21"/>
        </w:rPr>
      </w:pPr>
      <w:r>
        <w:rPr>
          <w:rFonts w:hint="eastAsia" w:ascii="宋体" w:hAnsi="宋体"/>
          <w:szCs w:val="21"/>
        </w:rPr>
        <w:t>通用条款内容可在深圳公共资源交易中心（深圳交易集团有限公司政府采购业务分公司）网站（http://www.szzfcg.cn）以下栏目中查看（两处均可）：</w:t>
      </w:r>
    </w:p>
    <w:p>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,1)</w:instrText>
      </w:r>
      <w:r>
        <w:fldChar w:fldCharType="end"/>
      </w:r>
      <w:r>
        <w:rPr>
          <w:rFonts w:hint="eastAsia" w:ascii="宋体" w:hAnsi="宋体"/>
          <w:szCs w:val="21"/>
        </w:rPr>
        <w:t>“业务服务”—“面向供应商”—“采购文件模板”；</w:t>
      </w:r>
    </w:p>
    <w:p>
      <w:pPr>
        <w:rPr>
          <w:rFonts w:ascii="宋体" w:hAnsi="宋体"/>
          <w:szCs w:val="21"/>
        </w:rPr>
      </w:pPr>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,2)</w:instrText>
      </w:r>
      <w:r>
        <w:fldChar w:fldCharType="end"/>
      </w:r>
      <w:r>
        <w:rPr>
          <w:rFonts w:hint="eastAsia" w:ascii="宋体" w:hAnsi="宋体"/>
          <w:szCs w:val="21"/>
        </w:rPr>
        <w:t>“业务服务”—“面向采购人”—“采购文件模板”。</w:t>
      </w:r>
    </w:p>
    <w:p>
      <w:pPr>
        <w:rPr>
          <w:b/>
        </w:rPr>
      </w:pPr>
      <w:r>
        <w:rPr>
          <w:rFonts w:hint="eastAsia"/>
          <w:b/>
        </w:rPr>
        <w:t>备注：</w:t>
      </w:r>
    </w:p>
    <w:p>
      <w:pPr>
        <w:ind w:firstLine="420" w:firstLineChars="200"/>
        <w:rPr>
          <w:b/>
          <w:color w:val="FF0000"/>
        </w:rPr>
      </w:pPr>
      <w:r>
        <w:rPr>
          <w:rFonts w:hint="eastAsia" w:ascii="宋体" w:hAnsi="宋体"/>
          <w:color w:val="FF0000"/>
          <w:szCs w:val="21"/>
        </w:rPr>
        <w:t>1.本招标文件分为第一册“专用条款”和第二册“通用条款”。</w:t>
      </w:r>
    </w:p>
    <w:p>
      <w:pPr>
        <w:spacing w:line="360" w:lineRule="auto"/>
        <w:ind w:firstLine="420" w:firstLineChars="200"/>
        <w:jc w:val="left"/>
        <w:rPr>
          <w:rFonts w:ascii="宋体" w:hAnsi="宋体"/>
          <w:color w:val="FF0000"/>
          <w:szCs w:val="21"/>
        </w:rPr>
      </w:pPr>
      <w:r>
        <w:rPr>
          <w:rFonts w:hint="eastAsia" w:ascii="宋体" w:hAnsi="宋体"/>
          <w:color w:val="FF0000"/>
          <w:szCs w:val="21"/>
        </w:rPr>
        <w:t>2.“专用条款”是对本次采购项目的具体要求，包含招标公告、招标项目需求、投标文件格式、合同条款及格式、附件等内容。</w:t>
      </w:r>
    </w:p>
    <w:p>
      <w:pPr>
        <w:spacing w:line="360" w:lineRule="auto"/>
        <w:ind w:firstLine="420" w:firstLineChars="200"/>
        <w:jc w:val="left"/>
        <w:rPr>
          <w:rFonts w:ascii="宋体" w:hAnsi="宋体"/>
          <w:color w:val="FF0000"/>
          <w:szCs w:val="21"/>
        </w:rPr>
      </w:pPr>
      <w:r>
        <w:rPr>
          <w:rFonts w:hint="eastAsia" w:ascii="宋体" w:hAnsi="宋体"/>
          <w:color w:val="FF0000"/>
          <w:szCs w:val="21"/>
        </w:rPr>
        <w:t>3.“通用条款”是通用于政府采购项目的基础性条款，具有普遍性和通用性。</w:t>
      </w:r>
    </w:p>
    <w:p>
      <w:pPr>
        <w:spacing w:line="360" w:lineRule="auto"/>
        <w:ind w:firstLine="420" w:firstLineChars="200"/>
        <w:jc w:val="left"/>
        <w:rPr>
          <w:rFonts w:ascii="宋体" w:hAnsi="宋体"/>
          <w:color w:val="FF0000"/>
          <w:szCs w:val="21"/>
        </w:rPr>
      </w:pPr>
      <w:r>
        <w:rPr>
          <w:rFonts w:hint="eastAsia" w:ascii="宋体" w:hAnsi="宋体"/>
          <w:color w:val="FF0000"/>
          <w:szCs w:val="21"/>
        </w:rPr>
        <w:t>4.当出现“专用条款”和“通用条款”表述不一致或有冲突时，以“专用条款”为准。</w:t>
      </w:r>
    </w:p>
    <w:p>
      <w:pPr>
        <w:spacing w:line="360" w:lineRule="auto"/>
        <w:ind w:firstLine="420" w:firstLineChars="200"/>
        <w:jc w:val="left"/>
        <w:rPr>
          <w:rFonts w:ascii="宋体" w:hAnsi="宋体"/>
          <w:color w:val="FF0000"/>
          <w:szCs w:val="21"/>
        </w:rPr>
      </w:pPr>
      <w:r>
        <w:rPr>
          <w:rFonts w:hint="eastAsia" w:ascii="宋体" w:hAnsi="宋体"/>
          <w:color w:val="FF0000"/>
          <w:szCs w:val="21"/>
        </w:rPr>
        <w:t>5.本项目具体由深圳公共资源交易中心（深圳交易集团有限公司政府采购业务分公司）组织实施。</w:t>
      </w:r>
    </w:p>
    <w:p>
      <w:pPr>
        <w:pStyle w:val="2"/>
        <w:rPr>
          <w:color w:val="FF0000"/>
          <w:sz w:val="24"/>
        </w:rPr>
      </w:pPr>
      <w:r>
        <w:rPr>
          <w:color w:val="FF0000"/>
        </w:rPr>
        <w:br w:type="page"/>
      </w:r>
      <w:bookmarkStart w:id="2" w:name="bt其他资料2"/>
      <w:bookmarkEnd w:id="2"/>
      <w:bookmarkStart w:id="3" w:name="bt项目管理班子配备情况"/>
      <w:bookmarkEnd w:id="3"/>
      <w:bookmarkStart w:id="4" w:name="bt投标报价汇总表"/>
      <w:bookmarkEnd w:id="4"/>
      <w:bookmarkStart w:id="5" w:name="bt商务标投标文件格式"/>
      <w:bookmarkEnd w:id="5"/>
      <w:bookmarkStart w:id="6" w:name="bt技术标投标文件格式"/>
      <w:bookmarkEnd w:id="6"/>
      <w:bookmarkStart w:id="7" w:name="bt开标一览表"/>
      <w:bookmarkEnd w:id="7"/>
      <w:bookmarkStart w:id="8" w:name="bt投标人须知"/>
      <w:bookmarkEnd w:id="8"/>
      <w:bookmarkStart w:id="9" w:name="合同格式"/>
      <w:bookmarkEnd w:id="9"/>
      <w:bookmarkStart w:id="10" w:name="bt合同条款及格式"/>
      <w:bookmarkEnd w:id="10"/>
      <w:bookmarkStart w:id="11" w:name="bt说明"/>
      <w:bookmarkEnd w:id="11"/>
      <w:bookmarkStart w:id="12" w:name="bt合同条款"/>
      <w:bookmarkEnd w:id="12"/>
      <w:bookmarkStart w:id="13" w:name="bt投标文件签署授权委托书"/>
      <w:bookmarkEnd w:id="13"/>
      <w:bookmarkStart w:id="14" w:name="bt投标函"/>
      <w:bookmarkEnd w:id="14"/>
      <w:bookmarkStart w:id="15" w:name="bt投标人情况介绍"/>
      <w:bookmarkEnd w:id="15"/>
      <w:bookmarkStart w:id="16" w:name="bt其他资料由投标人自定"/>
      <w:bookmarkEnd w:id="16"/>
      <w:bookmarkStart w:id="17" w:name="bt本工程承诺书"/>
      <w:bookmarkEnd w:id="17"/>
      <w:bookmarkStart w:id="18" w:name="bt合同格式"/>
      <w:bookmarkEnd w:id="18"/>
      <w:r>
        <w:rPr>
          <w:rFonts w:hint="eastAsia"/>
        </w:rPr>
        <w:t>第一册  专用条款</w:t>
      </w:r>
    </w:p>
    <w:p>
      <w:pPr>
        <w:pStyle w:val="5"/>
      </w:pPr>
      <w:r>
        <w:rPr>
          <w:rFonts w:hint="eastAsia"/>
        </w:rPr>
        <w:t>第一章  招标公告</w:t>
      </w:r>
    </w:p>
    <w:p>
      <w:pPr>
        <w:rPr>
          <w:rFonts w:ascii="宋体" w:hAnsi="宋体" w:cs="宋体"/>
          <w:kern w:val="0"/>
          <w:szCs w:val="21"/>
        </w:rPr>
      </w:pPr>
    </w:p>
    <w:p>
      <w:pPr>
        <w:keepNext/>
        <w:keepLines/>
        <w:spacing w:before="260" w:after="260"/>
        <w:outlineLvl w:val="2"/>
        <w:rPr>
          <w:rFonts w:ascii="宋体" w:hAnsi="宋体"/>
          <w:b/>
          <w:bCs/>
          <w:sz w:val="28"/>
          <w:szCs w:val="32"/>
        </w:rPr>
      </w:pPr>
      <w:r>
        <w:rPr>
          <w:rFonts w:ascii="宋体" w:hAnsi="宋体"/>
          <w:b/>
          <w:bCs/>
          <w:sz w:val="28"/>
          <w:szCs w:val="32"/>
        </w:rPr>
        <w:t>投标人资格要求：</w:t>
      </w:r>
    </w:p>
    <w:p>
      <w:pPr>
        <w:rPr>
          <w:rFonts w:ascii="宋体" w:hAnsi="宋体" w:cs="宋体"/>
          <w:kern w:val="0"/>
          <w:szCs w:val="21"/>
        </w:rPr>
      </w:pPr>
      <w:r>
        <w:rPr>
          <w:rFonts w:hint="eastAsia" w:ascii="宋体" w:hAnsi="宋体"/>
          <w:szCs w:val="21"/>
        </w:rPr>
        <w:t>（1）具有独立法人资格或具有独立承担民事责任的能力的其它组织（提供营业执照或事业单位法人证等法人证明扫描件，原件备查）。</w:t>
      </w:r>
    </w:p>
    <w:p>
      <w:pPr>
        <w:rPr>
          <w:rFonts w:ascii="宋体" w:hAnsi="宋体" w:cs="宋体"/>
          <w:kern w:val="0"/>
          <w:szCs w:val="21"/>
        </w:rPr>
      </w:pPr>
      <w:r>
        <w:rPr>
          <w:rFonts w:hint="eastAsia" w:ascii="宋体" w:hAnsi="宋体"/>
          <w:szCs w:val="21"/>
        </w:rPr>
        <w:t>（2）</w:t>
      </w:r>
      <w:r>
        <w:rPr>
          <w:rFonts w:hint="eastAsia" w:ascii="宋体" w:hAnsi="宋体" w:cs="宋体"/>
          <w:kern w:val="0"/>
          <w:szCs w:val="21"/>
        </w:rPr>
        <w:t>本项目不接受联合体投标，</w:t>
      </w:r>
      <w:r>
        <w:rPr>
          <w:rFonts w:hint="eastAsia" w:ascii="宋体" w:hAnsi="宋体" w:cs="宋体"/>
          <w:color w:val="FF0000"/>
          <w:kern w:val="0"/>
          <w:szCs w:val="21"/>
        </w:rPr>
        <w:t>不接受</w:t>
      </w:r>
      <w:r>
        <w:rPr>
          <w:rFonts w:hint="eastAsia" w:ascii="宋体" w:hAnsi="宋体" w:cs="宋体"/>
          <w:kern w:val="0"/>
          <w:szCs w:val="21"/>
        </w:rPr>
        <w:t>投标人选用进口产品参与投标。</w:t>
      </w:r>
    </w:p>
    <w:p>
      <w:pPr>
        <w:rPr>
          <w:rFonts w:ascii="宋体" w:hAnsi="宋体" w:cs="宋体"/>
          <w:kern w:val="0"/>
          <w:szCs w:val="21"/>
        </w:rPr>
      </w:pPr>
      <w:r>
        <w:rPr>
          <w:rFonts w:hint="eastAsia" w:ascii="宋体" w:hAnsi="宋体" w:cs="宋体"/>
          <w:kern w:val="0"/>
          <w:szCs w:val="21"/>
        </w:rPr>
        <w:t>（3）参与本项目投标前三年内，在经营活动中没有重大违法记录（由供应商在《</w:t>
      </w:r>
      <w:r>
        <w:rPr>
          <w:rFonts w:hint="eastAsia"/>
          <w:szCs w:val="21"/>
        </w:rPr>
        <w:t>政府采购投标及履约承诺函</w:t>
      </w:r>
      <w:r>
        <w:rPr>
          <w:rFonts w:hint="eastAsia" w:ascii="宋体" w:hAnsi="宋体" w:cs="宋体"/>
          <w:kern w:val="0"/>
          <w:szCs w:val="21"/>
        </w:rPr>
        <w:t>》中作出声明）。</w:t>
      </w:r>
    </w:p>
    <w:p>
      <w:pPr>
        <w:rPr>
          <w:rFonts w:ascii="宋体" w:hAnsi="宋体" w:cs="宋体"/>
          <w:kern w:val="0"/>
          <w:szCs w:val="21"/>
        </w:rPr>
      </w:pPr>
      <w:r>
        <w:rPr>
          <w:rFonts w:hint="eastAsia" w:ascii="宋体" w:hAnsi="宋体" w:cs="宋体"/>
          <w:kern w:val="0"/>
          <w:szCs w:val="21"/>
        </w:rPr>
        <w:t>（4）参与本项目政府采购活动时不存在被有关部门禁止参与政府采购活动且在有效期内的情况（由供应商在《</w:t>
      </w:r>
      <w:r>
        <w:rPr>
          <w:rFonts w:hint="eastAsia"/>
          <w:szCs w:val="21"/>
        </w:rPr>
        <w:t>政府采购投标及履约承诺函</w:t>
      </w:r>
      <w:r>
        <w:rPr>
          <w:rFonts w:hint="eastAsia" w:ascii="宋体" w:hAnsi="宋体" w:cs="宋体"/>
          <w:kern w:val="0"/>
          <w:szCs w:val="21"/>
        </w:rPr>
        <w:t>》中作出声明）；</w:t>
      </w:r>
    </w:p>
    <w:p>
      <w:pPr>
        <w:rPr>
          <w:rFonts w:ascii="宋体" w:hAnsi="宋体" w:cs="宋体"/>
          <w:kern w:val="0"/>
          <w:szCs w:val="21"/>
        </w:rPr>
      </w:pPr>
      <w:r>
        <w:rPr>
          <w:rFonts w:hint="eastAsia" w:ascii="宋体" w:hAnsi="宋体" w:cs="宋体"/>
          <w:kern w:val="0"/>
          <w:szCs w:val="21"/>
        </w:rPr>
        <w:t>（5）具备《中华人民共和国政府采购法》第二十二条第一款的条件（由供应商在《政府采购投标及履约承诺函》中作出声明）。</w:t>
      </w:r>
    </w:p>
    <w:p>
      <w:pPr>
        <w:rPr>
          <w:rFonts w:ascii="宋体" w:hAnsi="宋体" w:cs="宋体"/>
          <w:kern w:val="0"/>
          <w:szCs w:val="21"/>
        </w:rPr>
      </w:pPr>
      <w:r>
        <w:rPr>
          <w:rFonts w:hint="eastAsia" w:ascii="宋体" w:hAnsi="宋体" w:cs="宋体"/>
          <w:kern w:val="0"/>
          <w:szCs w:val="21"/>
        </w:rPr>
        <w:t>（6）未被列入失信被执行人、重大税收违法案件当事人名单、政府采购严重违法失信行为记录名单（由供应商在《政府采购投标及履约承诺函》中作出声明）。</w:t>
      </w:r>
    </w:p>
    <w:p>
      <w:pPr>
        <w:rPr>
          <w:rFonts w:ascii="宋体" w:hAnsi="宋体" w:cs="宋体"/>
          <w:color w:val="FF0000"/>
          <w:kern w:val="0"/>
          <w:szCs w:val="21"/>
        </w:rPr>
      </w:pPr>
      <w:r>
        <w:rPr>
          <w:rFonts w:hint="eastAsia" w:ascii="宋体" w:hAnsi="宋体" w:cs="宋体"/>
          <w:color w:val="FF0000"/>
          <w:kern w:val="0"/>
          <w:szCs w:val="21"/>
        </w:rPr>
        <w:t>（7）投标人应提供药品监督管理部门颁发的生产范围包含所投产品且在有效期内的《中华人民共和国药品生产许可证》证书扫描件，原件备查。</w:t>
      </w:r>
    </w:p>
    <w:p>
      <w:pPr>
        <w:ind w:firstLine="420" w:firstLineChars="200"/>
        <w:rPr>
          <w:rFonts w:ascii="宋体" w:hAnsi="宋体" w:cs="宋体"/>
          <w:kern w:val="0"/>
          <w:szCs w:val="21"/>
        </w:rPr>
      </w:pPr>
      <w:r>
        <w:rPr>
          <w:rFonts w:hint="eastAsia" w:ascii="宋体" w:hAnsi="宋体" w:cs="宋体"/>
          <w:kern w:val="0"/>
          <w:szCs w:val="21"/>
        </w:rPr>
        <w:t>注：“信用中国”、“中国政府采购网”、“深圳信用网”以及“深圳市政府采购监管网”为供应商信用信息的查询渠道，相关信息以开标当日的查询结果为准。</w:t>
      </w:r>
    </w:p>
    <w:p>
      <w:pPr>
        <w:pStyle w:val="7"/>
        <w:spacing w:before="60" w:beforeLines="25" w:after="60" w:afterLines="25"/>
        <w:ind w:firstLine="392" w:firstLineChars="187"/>
      </w:pPr>
    </w:p>
    <w:p>
      <w:pPr>
        <w:pStyle w:val="7"/>
        <w:spacing w:before="60" w:beforeLines="25" w:after="60" w:afterLines="25"/>
        <w:ind w:firstLine="392" w:firstLineChars="187"/>
      </w:pPr>
      <w:r>
        <w:rPr>
          <w:rFonts w:hint="eastAsia"/>
        </w:rPr>
        <w:t>完整公告内容详见：http://www.szzfcg.cn</w:t>
      </w: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jc w:val="right"/>
        <w:rPr>
          <w:rFonts w:ascii="宋体" w:hAnsi="宋体"/>
          <w:szCs w:val="21"/>
        </w:rPr>
      </w:pPr>
    </w:p>
    <w:p>
      <w:pPr>
        <w:ind w:firstLine="7200" w:firstLineChars="3000"/>
        <w:rPr>
          <w:sz w:val="24"/>
        </w:rPr>
      </w:pPr>
      <w:r>
        <w:rPr>
          <w:sz w:val="24"/>
        </w:rPr>
        <w:br w:type="page"/>
      </w:r>
    </w:p>
    <w:p>
      <w:pPr>
        <w:pStyle w:val="5"/>
      </w:pPr>
      <w:r>
        <w:rPr>
          <w:rFonts w:hint="eastAsia"/>
        </w:rPr>
        <w:t>第二章  招标项目需求</w:t>
      </w:r>
    </w:p>
    <w:p>
      <w:pPr>
        <w:pStyle w:val="5"/>
        <w:spacing w:before="120" w:beforeLines="50" w:after="120" w:afterLines="50"/>
        <w:rPr>
          <w:sz w:val="28"/>
          <w:szCs w:val="28"/>
        </w:rPr>
      </w:pPr>
      <w:bookmarkStart w:id="19" w:name="_Toc73517639"/>
      <w:bookmarkStart w:id="20" w:name="_Toc73521547"/>
      <w:bookmarkStart w:id="21" w:name="_Toc100052364"/>
      <w:bookmarkStart w:id="22" w:name="_Toc60560625"/>
      <w:bookmarkStart w:id="23" w:name="_Toc73518117"/>
      <w:bookmarkStart w:id="24" w:name="_Toc60631620"/>
      <w:bookmarkStart w:id="25" w:name="_Toc101074876"/>
      <w:bookmarkStart w:id="26" w:name="_Toc73521635"/>
      <w:r>
        <w:rPr>
          <w:rFonts w:hint="eastAsia"/>
          <w:sz w:val="28"/>
          <w:szCs w:val="28"/>
        </w:rPr>
        <w:t>一、对通用条款的补充内容</w:t>
      </w:r>
    </w:p>
    <w:bookmarkEnd w:id="19"/>
    <w:bookmarkEnd w:id="20"/>
    <w:bookmarkEnd w:id="21"/>
    <w:bookmarkEnd w:id="22"/>
    <w:bookmarkEnd w:id="23"/>
    <w:bookmarkEnd w:id="24"/>
    <w:bookmarkEnd w:id="25"/>
    <w:bookmarkEnd w:id="26"/>
    <w:tbl>
      <w:tblPr>
        <w:tblStyle w:val="43"/>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rPr>
            </w:pPr>
            <w:r>
              <w:rPr>
                <w:rFonts w:hint="eastAsia" w:ascii="宋体" w:hAnsi="宋体"/>
                <w:b/>
                <w:bCs/>
              </w:rPr>
              <w:t>序号</w:t>
            </w:r>
          </w:p>
        </w:tc>
        <w:tc>
          <w:tcPr>
            <w:tcW w:w="2160" w:type="dxa"/>
            <w:vAlign w:val="center"/>
          </w:tcPr>
          <w:p>
            <w:pPr>
              <w:jc w:val="center"/>
              <w:rPr>
                <w:rFonts w:ascii="宋体" w:hAnsi="宋体"/>
                <w:b/>
                <w:bCs/>
              </w:rPr>
            </w:pPr>
            <w:r>
              <w:rPr>
                <w:rFonts w:hint="eastAsia" w:ascii="宋体" w:hAnsi="宋体"/>
                <w:b/>
                <w:bCs/>
              </w:rPr>
              <w:t>内   容</w:t>
            </w:r>
          </w:p>
        </w:tc>
        <w:tc>
          <w:tcPr>
            <w:tcW w:w="5400" w:type="dxa"/>
            <w:vAlign w:val="center"/>
          </w:tcPr>
          <w:p>
            <w:pPr>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1</w:t>
            </w:r>
          </w:p>
        </w:tc>
        <w:tc>
          <w:tcPr>
            <w:tcW w:w="2160" w:type="dxa"/>
            <w:vAlign w:val="center"/>
          </w:tcPr>
          <w:p>
            <w:r>
              <w:rPr>
                <w:rFonts w:hint="eastAsia"/>
              </w:rPr>
              <w:t>联合体投标</w:t>
            </w:r>
          </w:p>
        </w:tc>
        <w:tc>
          <w:tcPr>
            <w:tcW w:w="5400" w:type="dxa"/>
            <w:vAlign w:val="center"/>
          </w:tcPr>
          <w:p>
            <w:pPr>
              <w:rPr>
                <w:rFonts w:ascii="宋体" w:hAnsi="宋体"/>
                <w:snapToGrid w:val="0"/>
                <w:kern w:val="0"/>
                <w:szCs w:val="32"/>
                <w:u w:val="single"/>
                <w:lang w:val="zh-CN"/>
              </w:rPr>
            </w:pPr>
            <w:r>
              <w:rPr>
                <w:rFonts w:hint="eastAsia" w:ascii="宋体" w:hAnsi="宋体"/>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2</w:t>
            </w:r>
          </w:p>
        </w:tc>
        <w:tc>
          <w:tcPr>
            <w:tcW w:w="2160" w:type="dxa"/>
            <w:vAlign w:val="center"/>
          </w:tcPr>
          <w:p>
            <w:pP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u w:val="single"/>
              </w:rPr>
              <w:t>120</w:t>
            </w:r>
            <w:r>
              <w:rPr>
                <w:rFonts w:ascii="宋体" w:hAnsi="宋体"/>
                <w:u w:val="single"/>
              </w:rPr>
              <w:t>日历天</w:t>
            </w:r>
            <w:r>
              <w:rPr>
                <w:rFonts w:ascii="宋体" w:hAnsi="宋体"/>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3</w:t>
            </w:r>
          </w:p>
        </w:tc>
        <w:tc>
          <w:tcPr>
            <w:tcW w:w="2160" w:type="dxa"/>
            <w:vAlign w:val="center"/>
          </w:tcPr>
          <w:p>
            <w:pP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4</w:t>
            </w:r>
          </w:p>
        </w:tc>
        <w:tc>
          <w:tcPr>
            <w:tcW w:w="2160" w:type="dxa"/>
            <w:vAlign w:val="center"/>
          </w:tcPr>
          <w:p>
            <w:pPr>
              <w:rPr>
                <w:rFonts w:ascii="宋体" w:hAnsi="宋体"/>
              </w:rPr>
            </w:pPr>
            <w:r>
              <w:rPr>
                <w:rFonts w:hint="eastAsia" w:ascii="宋体" w:hAnsi="宋体"/>
              </w:rPr>
              <w:t>投标文件的投递</w:t>
            </w:r>
          </w:p>
        </w:tc>
        <w:tc>
          <w:tcPr>
            <w:tcW w:w="5400" w:type="dxa"/>
            <w:vAlign w:val="center"/>
          </w:tcPr>
          <w:p>
            <w:pPr>
              <w:rPr>
                <w:rFonts w:ascii="宋体" w:hAnsi="宋体"/>
              </w:rPr>
            </w:pPr>
            <w:r>
              <w:rPr>
                <w:rFonts w:hint="eastAsia" w:ascii="宋体" w:hAnsi="宋体"/>
              </w:rPr>
              <w:t>本项目实行网上投标，投标人必须在招标文件规定的投标截止时间前登录“深圳公共资源交易中心（深圳交易集团有限公司政府采购业务分公司）官网”，使用“应标管理</w:t>
            </w:r>
            <w:r>
              <w:rPr>
                <w:rFonts w:ascii="宋体" w:hAnsi="宋体"/>
              </w:rPr>
              <w:t>-&gt;上传投标文件”功能</w:t>
            </w:r>
            <w:r>
              <w:rPr>
                <w:rFonts w:hint="eastAsia" w:ascii="宋体" w:hAnsi="宋体"/>
              </w:rPr>
              <w:t>点，</w:t>
            </w:r>
            <w:r>
              <w:rPr>
                <w:rFonts w:ascii="宋体" w:hAnsi="宋体"/>
              </w:rPr>
              <w:t>将编制好的电子投标文件上传，投标文件大小不得超过</w:t>
            </w:r>
            <w:r>
              <w:rPr>
                <w:rFonts w:hint="eastAsia" w:ascii="宋体" w:hAnsi="宋体"/>
              </w:rPr>
              <w:t>10</w:t>
            </w:r>
            <w:r>
              <w:rPr>
                <w:rFonts w:ascii="宋体" w:hAnsi="宋体"/>
              </w:rPr>
              <w:t>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5</w:t>
            </w:r>
          </w:p>
        </w:tc>
        <w:tc>
          <w:tcPr>
            <w:tcW w:w="2160" w:type="dxa"/>
            <w:vAlign w:val="center"/>
          </w:tcPr>
          <w:p>
            <w:pPr>
              <w:rPr>
                <w:rFonts w:ascii="宋体" w:hAnsi="宋体"/>
              </w:rPr>
            </w:pPr>
            <w:r>
              <w:rPr>
                <w:rFonts w:hint="eastAsia" w:ascii="宋体" w:hAnsi="宋体"/>
              </w:rPr>
              <w:t>履约保证金</w:t>
            </w:r>
          </w:p>
        </w:tc>
        <w:tc>
          <w:tcPr>
            <w:tcW w:w="5400" w:type="dxa"/>
            <w:vAlign w:val="center"/>
          </w:tcPr>
          <w:p>
            <w:pPr>
              <w:rPr>
                <w:rFonts w:ascii="宋体" w:hAnsi="宋体"/>
                <w:color w:val="FF0000"/>
              </w:rPr>
            </w:pPr>
            <w:r>
              <w:rPr>
                <w:rFonts w:hint="eastAsia"/>
              </w:rPr>
              <w:t>无</w:t>
            </w:r>
          </w:p>
        </w:tc>
      </w:tr>
    </w:tbl>
    <w:p>
      <w:pPr>
        <w:rPr>
          <w:b/>
        </w:rPr>
      </w:pPr>
      <w:r>
        <w:rPr>
          <w:rFonts w:hint="eastAsia"/>
          <w:szCs w:val="21"/>
        </w:rPr>
        <w:t>备注：本表为通用条款相关内容的补充和明确，如与通用条款相冲突的以本表为准。</w:t>
      </w:r>
    </w:p>
    <w:p/>
    <w:p>
      <w:pPr>
        <w:pStyle w:val="5"/>
        <w:spacing w:before="120" w:beforeLines="50" w:after="120" w:afterLines="50"/>
        <w:rPr>
          <w:sz w:val="28"/>
          <w:szCs w:val="28"/>
        </w:rPr>
      </w:pPr>
      <w:r>
        <w:rPr>
          <w:rFonts w:hint="eastAsia"/>
          <w:sz w:val="28"/>
          <w:szCs w:val="28"/>
        </w:rPr>
        <w:t>二、货物清单</w:t>
      </w:r>
    </w:p>
    <w:p>
      <w:pPr>
        <w:rPr>
          <w:rFonts w:ascii="宋体" w:hAnsi="宋体"/>
          <w:b/>
          <w:color w:val="FF0000"/>
          <w:szCs w:val="21"/>
        </w:rPr>
      </w:pPr>
      <w:r>
        <w:rPr>
          <w:rFonts w:hint="eastAsia" w:ascii="宋体" w:hAnsi="宋体"/>
          <w:b/>
          <w:color w:val="FF0000"/>
          <w:szCs w:val="21"/>
        </w:rPr>
        <w:t>（一）货物总清单</w:t>
      </w:r>
    </w:p>
    <w:tbl>
      <w:tblPr>
        <w:tblStyle w:val="43"/>
        <w:tblpPr w:leftFromText="180" w:rightFromText="180" w:vertAnchor="text" w:horzAnchor="margin" w:tblpY="17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1559"/>
        <w:gridCol w:w="1134"/>
        <w:gridCol w:w="709"/>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75" w:type="dxa"/>
            <w:vAlign w:val="center"/>
          </w:tcPr>
          <w:p>
            <w:pPr>
              <w:jc w:val="center"/>
              <w:rPr>
                <w:bCs/>
                <w:szCs w:val="21"/>
              </w:rPr>
            </w:pPr>
            <w:r>
              <w:rPr>
                <w:rFonts w:hint="eastAsia"/>
                <w:bCs/>
                <w:szCs w:val="21"/>
              </w:rPr>
              <w:t>序号</w:t>
            </w:r>
          </w:p>
        </w:tc>
        <w:tc>
          <w:tcPr>
            <w:tcW w:w="1985" w:type="dxa"/>
            <w:vAlign w:val="center"/>
          </w:tcPr>
          <w:p>
            <w:pPr>
              <w:jc w:val="center"/>
              <w:rPr>
                <w:bCs/>
                <w:szCs w:val="21"/>
              </w:rPr>
            </w:pPr>
            <w:r>
              <w:rPr>
                <w:rFonts w:hint="eastAsia"/>
                <w:szCs w:val="21"/>
              </w:rPr>
              <w:t>采购计划编号</w:t>
            </w:r>
          </w:p>
        </w:tc>
        <w:tc>
          <w:tcPr>
            <w:tcW w:w="1559" w:type="dxa"/>
            <w:vAlign w:val="center"/>
          </w:tcPr>
          <w:p>
            <w:pPr>
              <w:jc w:val="center"/>
              <w:rPr>
                <w:bCs/>
                <w:szCs w:val="21"/>
              </w:rPr>
            </w:pPr>
            <w:r>
              <w:rPr>
                <w:rFonts w:hint="eastAsia"/>
                <w:bCs/>
                <w:szCs w:val="21"/>
              </w:rPr>
              <w:t>货物名称</w:t>
            </w:r>
          </w:p>
        </w:tc>
        <w:tc>
          <w:tcPr>
            <w:tcW w:w="1134" w:type="dxa"/>
            <w:vAlign w:val="center"/>
          </w:tcPr>
          <w:p>
            <w:pPr>
              <w:jc w:val="center"/>
              <w:rPr>
                <w:bCs/>
                <w:szCs w:val="21"/>
              </w:rPr>
            </w:pPr>
            <w:r>
              <w:rPr>
                <w:rFonts w:hint="eastAsia"/>
                <w:bCs/>
                <w:szCs w:val="21"/>
              </w:rPr>
              <w:t>数量</w:t>
            </w:r>
          </w:p>
        </w:tc>
        <w:tc>
          <w:tcPr>
            <w:tcW w:w="709" w:type="dxa"/>
            <w:vAlign w:val="center"/>
          </w:tcPr>
          <w:p>
            <w:pPr>
              <w:jc w:val="center"/>
              <w:rPr>
                <w:bCs/>
                <w:szCs w:val="21"/>
              </w:rPr>
            </w:pPr>
            <w:r>
              <w:rPr>
                <w:rFonts w:hint="eastAsia"/>
                <w:bCs/>
                <w:szCs w:val="21"/>
              </w:rPr>
              <w:t>单位</w:t>
            </w:r>
          </w:p>
        </w:tc>
        <w:tc>
          <w:tcPr>
            <w:tcW w:w="1134" w:type="dxa"/>
            <w:vAlign w:val="center"/>
          </w:tcPr>
          <w:p>
            <w:pPr>
              <w:jc w:val="center"/>
              <w:rPr>
                <w:b/>
                <w:bCs/>
                <w:color w:val="FF0000"/>
                <w:szCs w:val="21"/>
              </w:rPr>
            </w:pPr>
            <w:r>
              <w:rPr>
                <w:rFonts w:hint="eastAsia"/>
                <w:b/>
                <w:bCs/>
                <w:color w:val="FF0000"/>
                <w:szCs w:val="21"/>
              </w:rPr>
              <w:t>备注</w:t>
            </w:r>
          </w:p>
        </w:tc>
        <w:tc>
          <w:tcPr>
            <w:tcW w:w="1276" w:type="dxa"/>
            <w:vAlign w:val="center"/>
          </w:tcPr>
          <w:p>
            <w:pPr>
              <w:jc w:val="center"/>
              <w:rPr>
                <w:b/>
                <w:bCs/>
                <w:color w:val="FF0000"/>
                <w:szCs w:val="21"/>
              </w:rPr>
            </w:pPr>
            <w:r>
              <w:rPr>
                <w:rFonts w:hint="eastAsia"/>
                <w:b/>
                <w:bCs/>
                <w:color w:val="FF0000"/>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675" w:type="dxa"/>
          </w:tcPr>
          <w:p>
            <w:pPr>
              <w:jc w:val="center"/>
              <w:rPr>
                <w:bCs/>
                <w:szCs w:val="21"/>
              </w:rPr>
            </w:pPr>
            <w:r>
              <w:rPr>
                <w:rFonts w:hint="eastAsia"/>
                <w:bCs/>
                <w:szCs w:val="21"/>
              </w:rPr>
              <w:t>1</w:t>
            </w:r>
          </w:p>
        </w:tc>
        <w:tc>
          <w:tcPr>
            <w:tcW w:w="1985" w:type="dxa"/>
          </w:tcPr>
          <w:p>
            <w:pPr>
              <w:jc w:val="center"/>
              <w:rPr>
                <w:bCs/>
                <w:szCs w:val="21"/>
              </w:rPr>
            </w:pPr>
            <w:r>
              <w:rPr>
                <w:bCs/>
                <w:szCs w:val="21"/>
              </w:rPr>
              <w:t>PLAN-2021-440301-0102018005-01014</w:t>
            </w:r>
          </w:p>
        </w:tc>
        <w:tc>
          <w:tcPr>
            <w:tcW w:w="1559" w:type="dxa"/>
          </w:tcPr>
          <w:p>
            <w:pPr>
              <w:jc w:val="center"/>
              <w:rPr>
                <w:bCs/>
                <w:szCs w:val="21"/>
              </w:rPr>
            </w:pPr>
            <w:r>
              <w:rPr>
                <w:rFonts w:hint="eastAsia"/>
              </w:rPr>
              <w:t>60岁及以上老年人流感疫苗</w:t>
            </w:r>
          </w:p>
        </w:tc>
        <w:tc>
          <w:tcPr>
            <w:tcW w:w="1134" w:type="dxa"/>
          </w:tcPr>
          <w:p>
            <w:pPr>
              <w:jc w:val="center"/>
              <w:rPr>
                <w:bCs/>
                <w:szCs w:val="21"/>
              </w:rPr>
            </w:pPr>
            <w:r>
              <w:t>100000</w:t>
            </w:r>
          </w:p>
        </w:tc>
        <w:tc>
          <w:tcPr>
            <w:tcW w:w="709" w:type="dxa"/>
          </w:tcPr>
          <w:p>
            <w:pPr>
              <w:jc w:val="center"/>
              <w:rPr>
                <w:bCs/>
                <w:szCs w:val="21"/>
              </w:rPr>
            </w:pPr>
            <w:r>
              <w:rPr>
                <w:rFonts w:hint="eastAsia"/>
              </w:rPr>
              <w:t>支</w:t>
            </w:r>
          </w:p>
        </w:tc>
        <w:tc>
          <w:tcPr>
            <w:tcW w:w="1134" w:type="dxa"/>
          </w:tcPr>
          <w:p>
            <w:pPr>
              <w:jc w:val="center"/>
              <w:rPr>
                <w:b/>
                <w:bCs/>
                <w:color w:val="FF0000"/>
                <w:szCs w:val="21"/>
              </w:rPr>
            </w:pPr>
            <w:r>
              <w:rPr>
                <w:b/>
                <w:bCs/>
                <w:color w:val="FF0000"/>
                <w:szCs w:val="21"/>
              </w:rPr>
              <w:t>拒绝进口</w:t>
            </w:r>
          </w:p>
        </w:tc>
        <w:tc>
          <w:tcPr>
            <w:tcW w:w="1276" w:type="dxa"/>
          </w:tcPr>
          <w:p>
            <w:pPr>
              <w:jc w:val="center"/>
              <w:rPr>
                <w:bCs/>
                <w:szCs w:val="21"/>
              </w:rPr>
            </w:pPr>
            <w:r>
              <w:t>6,000,000</w:t>
            </w:r>
          </w:p>
        </w:tc>
      </w:tr>
    </w:tbl>
    <w:p>
      <w:pPr>
        <w:rPr>
          <w:rFonts w:ascii="宋体" w:hAnsi="宋体"/>
          <w:b/>
          <w:color w:val="FF0000"/>
          <w:szCs w:val="21"/>
        </w:rPr>
      </w:pPr>
    </w:p>
    <w:p>
      <w:pPr>
        <w:rPr>
          <w:rFonts w:ascii="宋体" w:hAnsi="宋体"/>
          <w:b/>
          <w:color w:val="FF0000"/>
          <w:szCs w:val="21"/>
        </w:rPr>
      </w:pPr>
      <w:r>
        <w:rPr>
          <w:rFonts w:hint="eastAsia" w:ascii="宋体" w:hAnsi="宋体"/>
          <w:b/>
          <w:color w:val="FF0000"/>
          <w:szCs w:val="21"/>
        </w:rPr>
        <w:t>（二）货物清单明细</w:t>
      </w:r>
    </w:p>
    <w:tbl>
      <w:tblPr>
        <w:tblStyle w:val="43"/>
        <w:tblpPr w:leftFromText="180" w:rightFromText="180" w:vertAnchor="text" w:horzAnchor="margin" w:tblpY="17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34"/>
        <w:gridCol w:w="1276"/>
        <w:gridCol w:w="992"/>
        <w:gridCol w:w="709"/>
        <w:gridCol w:w="708"/>
        <w:gridCol w:w="1134"/>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dxa"/>
            <w:vAlign w:val="center"/>
          </w:tcPr>
          <w:p>
            <w:pPr>
              <w:jc w:val="center"/>
              <w:rPr>
                <w:bCs/>
                <w:szCs w:val="21"/>
              </w:rPr>
            </w:pPr>
            <w:r>
              <w:rPr>
                <w:rFonts w:hint="eastAsia"/>
                <w:bCs/>
                <w:szCs w:val="21"/>
              </w:rPr>
              <w:t>序号</w:t>
            </w:r>
          </w:p>
        </w:tc>
        <w:tc>
          <w:tcPr>
            <w:tcW w:w="1134" w:type="dxa"/>
            <w:vAlign w:val="center"/>
          </w:tcPr>
          <w:p>
            <w:pPr>
              <w:jc w:val="center"/>
              <w:rPr>
                <w:bCs/>
                <w:szCs w:val="21"/>
              </w:rPr>
            </w:pPr>
            <w:r>
              <w:rPr>
                <w:rFonts w:hint="eastAsia"/>
                <w:szCs w:val="21"/>
              </w:rPr>
              <w:t>采购计划编号</w:t>
            </w:r>
          </w:p>
        </w:tc>
        <w:tc>
          <w:tcPr>
            <w:tcW w:w="1276" w:type="dxa"/>
            <w:vAlign w:val="center"/>
          </w:tcPr>
          <w:p>
            <w:pPr>
              <w:jc w:val="center"/>
              <w:rPr>
                <w:bCs/>
                <w:szCs w:val="21"/>
              </w:rPr>
            </w:pPr>
            <w:r>
              <w:rPr>
                <w:rFonts w:hint="eastAsia"/>
                <w:bCs/>
                <w:szCs w:val="21"/>
              </w:rPr>
              <w:t>货物名称</w:t>
            </w:r>
          </w:p>
        </w:tc>
        <w:tc>
          <w:tcPr>
            <w:tcW w:w="992" w:type="dxa"/>
            <w:vAlign w:val="center"/>
          </w:tcPr>
          <w:p>
            <w:pPr>
              <w:jc w:val="center"/>
              <w:rPr>
                <w:bCs/>
                <w:szCs w:val="21"/>
              </w:rPr>
            </w:pPr>
            <w:r>
              <w:rPr>
                <w:rFonts w:hint="eastAsia"/>
                <w:bCs/>
                <w:szCs w:val="21"/>
              </w:rPr>
              <w:t>数量</w:t>
            </w:r>
          </w:p>
        </w:tc>
        <w:tc>
          <w:tcPr>
            <w:tcW w:w="709" w:type="dxa"/>
            <w:vAlign w:val="center"/>
          </w:tcPr>
          <w:p>
            <w:pPr>
              <w:jc w:val="center"/>
              <w:rPr>
                <w:bCs/>
                <w:szCs w:val="21"/>
              </w:rPr>
            </w:pPr>
            <w:r>
              <w:rPr>
                <w:rFonts w:hint="eastAsia"/>
                <w:bCs/>
                <w:szCs w:val="21"/>
              </w:rPr>
              <w:t>单位</w:t>
            </w:r>
          </w:p>
        </w:tc>
        <w:tc>
          <w:tcPr>
            <w:tcW w:w="708" w:type="dxa"/>
            <w:vAlign w:val="center"/>
          </w:tcPr>
          <w:p>
            <w:pPr>
              <w:jc w:val="center"/>
              <w:rPr>
                <w:b/>
                <w:bCs/>
                <w:color w:val="FF0000"/>
                <w:szCs w:val="21"/>
              </w:rPr>
            </w:pPr>
            <w:r>
              <w:rPr>
                <w:rFonts w:hint="eastAsia"/>
                <w:b/>
                <w:bCs/>
                <w:color w:val="FF0000"/>
                <w:szCs w:val="21"/>
              </w:rPr>
              <w:t>备注</w:t>
            </w:r>
          </w:p>
        </w:tc>
        <w:tc>
          <w:tcPr>
            <w:tcW w:w="1134" w:type="dxa"/>
          </w:tcPr>
          <w:p>
            <w:pPr>
              <w:jc w:val="center"/>
              <w:rPr>
                <w:b/>
                <w:bCs/>
                <w:color w:val="FF0000"/>
                <w:szCs w:val="21"/>
              </w:rPr>
            </w:pPr>
            <w:r>
              <w:rPr>
                <w:rFonts w:hint="eastAsia"/>
                <w:b/>
                <w:bCs/>
                <w:color w:val="FF0000"/>
                <w:szCs w:val="21"/>
              </w:rPr>
              <w:t>财政预算限额单价（元）</w:t>
            </w:r>
          </w:p>
        </w:tc>
        <w:tc>
          <w:tcPr>
            <w:tcW w:w="1276" w:type="dxa"/>
          </w:tcPr>
          <w:p>
            <w:pPr>
              <w:jc w:val="center"/>
              <w:rPr>
                <w:b/>
                <w:bCs/>
                <w:color w:val="FF0000"/>
                <w:szCs w:val="21"/>
              </w:rPr>
            </w:pPr>
            <w:r>
              <w:rPr>
                <w:rFonts w:hint="eastAsia"/>
                <w:b/>
                <w:bCs/>
                <w:color w:val="FF0000"/>
                <w:szCs w:val="21"/>
              </w:rPr>
              <w:t>财政预算限额（元）</w:t>
            </w:r>
          </w:p>
        </w:tc>
        <w:tc>
          <w:tcPr>
            <w:tcW w:w="851" w:type="dxa"/>
            <w:vAlign w:val="center"/>
          </w:tcPr>
          <w:p>
            <w:pPr>
              <w:jc w:val="center"/>
              <w:rPr>
                <w:b/>
                <w:bCs/>
                <w:color w:val="FF0000"/>
                <w:szCs w:val="21"/>
              </w:rPr>
            </w:pPr>
            <w:r>
              <w:rPr>
                <w:rFonts w:hint="eastAsia"/>
                <w:b/>
                <w:bCs/>
                <w:color w:val="FF0000"/>
                <w:szCs w:val="21"/>
              </w:rPr>
              <w:t>所属</w:t>
            </w:r>
          </w:p>
          <w:p>
            <w:pPr>
              <w:jc w:val="center"/>
              <w:rPr>
                <w:b/>
                <w:bCs/>
                <w:color w:val="FF0000"/>
                <w:szCs w:val="21"/>
              </w:rPr>
            </w:pPr>
            <w:r>
              <w:rPr>
                <w:rFonts w:hint="eastAsia"/>
                <w:b/>
                <w:bCs/>
                <w:color w:val="FF0000"/>
                <w:szCs w:val="21"/>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dxa"/>
          </w:tcPr>
          <w:p>
            <w:pPr>
              <w:jc w:val="center"/>
              <w:rPr>
                <w:bCs/>
                <w:szCs w:val="21"/>
              </w:rPr>
            </w:pPr>
            <w:r>
              <w:rPr>
                <w:rFonts w:hint="eastAsia"/>
                <w:bCs/>
                <w:szCs w:val="21"/>
              </w:rPr>
              <w:t>1</w:t>
            </w:r>
          </w:p>
        </w:tc>
        <w:tc>
          <w:tcPr>
            <w:tcW w:w="1134" w:type="dxa"/>
          </w:tcPr>
          <w:p>
            <w:pPr>
              <w:jc w:val="center"/>
              <w:rPr>
                <w:bCs/>
                <w:szCs w:val="21"/>
              </w:rPr>
            </w:pPr>
            <w:r>
              <w:rPr>
                <w:bCs/>
                <w:szCs w:val="21"/>
              </w:rPr>
              <w:t>PLAN-2021-440301-0102018005-01014</w:t>
            </w:r>
          </w:p>
        </w:tc>
        <w:tc>
          <w:tcPr>
            <w:tcW w:w="1276" w:type="dxa"/>
          </w:tcPr>
          <w:p>
            <w:pPr>
              <w:jc w:val="center"/>
              <w:rPr>
                <w:bCs/>
                <w:szCs w:val="21"/>
              </w:rPr>
            </w:pPr>
            <w:r>
              <w:rPr>
                <w:rFonts w:hint="eastAsia"/>
              </w:rPr>
              <w:t>60岁及以上老年人流感疫苗</w:t>
            </w:r>
          </w:p>
        </w:tc>
        <w:tc>
          <w:tcPr>
            <w:tcW w:w="992" w:type="dxa"/>
          </w:tcPr>
          <w:p>
            <w:pPr>
              <w:jc w:val="center"/>
              <w:rPr>
                <w:bCs/>
                <w:szCs w:val="21"/>
              </w:rPr>
            </w:pPr>
            <w:r>
              <w:t>100000</w:t>
            </w:r>
          </w:p>
        </w:tc>
        <w:tc>
          <w:tcPr>
            <w:tcW w:w="709" w:type="dxa"/>
          </w:tcPr>
          <w:p>
            <w:pPr>
              <w:jc w:val="center"/>
              <w:rPr>
                <w:bCs/>
                <w:szCs w:val="21"/>
              </w:rPr>
            </w:pPr>
            <w:r>
              <w:rPr>
                <w:rFonts w:hint="eastAsia"/>
              </w:rPr>
              <w:t>支</w:t>
            </w:r>
          </w:p>
        </w:tc>
        <w:tc>
          <w:tcPr>
            <w:tcW w:w="708" w:type="dxa"/>
          </w:tcPr>
          <w:p>
            <w:pPr>
              <w:jc w:val="center"/>
              <w:rPr>
                <w:bCs/>
                <w:szCs w:val="21"/>
              </w:rPr>
            </w:pPr>
            <w:r>
              <w:rPr>
                <w:rFonts w:hint="eastAsia"/>
              </w:rPr>
              <w:t>拒绝进口</w:t>
            </w:r>
          </w:p>
        </w:tc>
        <w:tc>
          <w:tcPr>
            <w:tcW w:w="1134" w:type="dxa"/>
          </w:tcPr>
          <w:p>
            <w:pPr>
              <w:jc w:val="center"/>
            </w:pPr>
            <w:r>
              <w:t>60</w:t>
            </w:r>
          </w:p>
        </w:tc>
        <w:tc>
          <w:tcPr>
            <w:tcW w:w="1276" w:type="dxa"/>
          </w:tcPr>
          <w:p>
            <w:pPr>
              <w:jc w:val="center"/>
              <w:rPr>
                <w:bCs/>
                <w:szCs w:val="21"/>
              </w:rPr>
            </w:pPr>
            <w:r>
              <w:t>6,000,000</w:t>
            </w:r>
          </w:p>
        </w:tc>
        <w:tc>
          <w:tcPr>
            <w:tcW w:w="851" w:type="dxa"/>
          </w:tcPr>
          <w:p>
            <w:pPr>
              <w:jc w:val="center"/>
              <w:rPr>
                <w:bCs/>
                <w:szCs w:val="21"/>
              </w:rPr>
            </w:pPr>
            <w:r>
              <w:rPr>
                <w:rFonts w:hint="eastAsia"/>
                <w:bCs/>
                <w:szCs w:val="21"/>
              </w:rPr>
              <w:t>其他未列明行业</w:t>
            </w:r>
          </w:p>
        </w:tc>
      </w:tr>
    </w:tbl>
    <w:p>
      <w:pPr>
        <w:rPr>
          <w:rFonts w:ascii="宋体" w:hAnsi="宋体"/>
          <w:b/>
          <w:color w:val="FF0000"/>
          <w:szCs w:val="21"/>
        </w:rPr>
      </w:pPr>
      <w:r>
        <w:rPr>
          <w:rFonts w:hint="eastAsia" w:ascii="宋体" w:hAnsi="宋体"/>
          <w:b/>
          <w:color w:val="FF0000"/>
          <w:szCs w:val="21"/>
        </w:rPr>
        <w:t xml:space="preserve">备注：1.备注栏注明“拒绝进口”的产品不接受投标人选用进口产品参与投标；注明“接受进口”的产品允许投标人选用进口产品参与投标，但不排斥国内产品。 </w:t>
      </w:r>
    </w:p>
    <w:p>
      <w:pPr>
        <w:rPr>
          <w:rFonts w:ascii="宋体" w:hAnsi="宋体"/>
          <w:b/>
          <w:color w:val="FF0000"/>
          <w:szCs w:val="21"/>
        </w:rPr>
      </w:pPr>
      <w:r>
        <w:rPr>
          <w:rFonts w:hint="eastAsia" w:ascii="宋体" w:hAnsi="宋体"/>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rPr>
          <w:rFonts w:ascii="宋体" w:hAnsi="宋体"/>
          <w:b/>
          <w:color w:val="FF0000"/>
          <w:szCs w:val="21"/>
        </w:rPr>
      </w:pPr>
      <w:r>
        <w:rPr>
          <w:rFonts w:hint="eastAsia" w:ascii="宋体" w:hAnsi="宋体"/>
          <w:b/>
          <w:color w:val="FF0000"/>
          <w:szCs w:val="21"/>
        </w:rPr>
        <w:t>3、本项目为单一产品采购项目，不设置核心产品。</w:t>
      </w:r>
    </w:p>
    <w:p>
      <w:pPr>
        <w:pStyle w:val="5"/>
        <w:spacing w:before="120" w:beforeLines="50" w:after="120" w:afterLines="50"/>
        <w:rPr>
          <w:sz w:val="28"/>
          <w:szCs w:val="28"/>
        </w:rPr>
      </w:pPr>
      <w:bookmarkStart w:id="27" w:name="_Toc128884461"/>
      <w:r>
        <w:rPr>
          <w:rFonts w:hint="eastAsia"/>
          <w:sz w:val="28"/>
          <w:szCs w:val="28"/>
        </w:rPr>
        <w:t>三、实质性条款</w:t>
      </w:r>
    </w:p>
    <w:tbl>
      <w:tblPr>
        <w:tblStyle w:val="4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序号</w:t>
            </w:r>
          </w:p>
        </w:tc>
        <w:tc>
          <w:tcPr>
            <w:tcW w:w="7483" w:type="dxa"/>
          </w:tcPr>
          <w:p>
            <w:pPr>
              <w:adjustRightInd w:val="0"/>
              <w:snapToGrid w:val="0"/>
              <w:spacing w:line="360" w:lineRule="auto"/>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7483" w:type="dxa"/>
          </w:tcPr>
          <w:p>
            <w:pPr>
              <w:adjustRightInd w:val="0"/>
              <w:snapToGrid w:val="0"/>
              <w:spacing w:line="360" w:lineRule="auto"/>
              <w:rPr>
                <w:rFonts w:hAnsi="宋体"/>
                <w:kern w:val="0"/>
                <w:szCs w:val="21"/>
              </w:rPr>
            </w:pPr>
            <w:r>
              <w:rPr>
                <w:rFonts w:hint="eastAsia" w:hAnsi="宋体"/>
                <w:kern w:val="0"/>
                <w:szCs w:val="21"/>
              </w:rPr>
              <w:t>投标文件载明的交货期不超过招标文件规定的期限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7483" w:type="dxa"/>
          </w:tcPr>
          <w:p>
            <w:pPr>
              <w:adjustRightInd w:val="0"/>
              <w:snapToGrid w:val="0"/>
              <w:spacing w:line="360" w:lineRule="auto"/>
              <w:rPr>
                <w:rFonts w:hAnsi="宋体"/>
                <w:kern w:val="0"/>
                <w:szCs w:val="21"/>
              </w:rPr>
            </w:pPr>
            <w:r>
              <w:rPr>
                <w:rFonts w:hint="eastAsia" w:hAnsi="宋体"/>
                <w:kern w:val="0"/>
                <w:szCs w:val="21"/>
              </w:rPr>
              <w:t>投标文件载明的免费保修期不低于招标文件规定的期限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3</w:t>
            </w:r>
          </w:p>
        </w:tc>
        <w:tc>
          <w:tcPr>
            <w:tcW w:w="7483" w:type="dxa"/>
          </w:tcPr>
          <w:p>
            <w:pPr>
              <w:adjustRightInd w:val="0"/>
              <w:snapToGrid w:val="0"/>
              <w:spacing w:line="360" w:lineRule="auto"/>
              <w:rPr>
                <w:rFonts w:hAnsi="宋体"/>
                <w:kern w:val="0"/>
                <w:szCs w:val="21"/>
              </w:rPr>
            </w:pPr>
            <w:r>
              <w:rPr>
                <w:rFonts w:hint="eastAsia" w:hAnsi="宋体"/>
                <w:kern w:val="0"/>
                <w:szCs w:val="21"/>
              </w:rPr>
              <w:t>具体技术要求、商务需求中带“★”要求</w:t>
            </w:r>
          </w:p>
        </w:tc>
      </w:tr>
    </w:tbl>
    <w:p>
      <w:pPr>
        <w:pStyle w:val="357"/>
        <w:ind w:firstLine="0"/>
        <w:rPr>
          <w:b/>
          <w:sz w:val="24"/>
          <w:szCs w:val="24"/>
        </w:rPr>
      </w:pPr>
      <w:r>
        <w:rPr>
          <w:rFonts w:hint="eastAsia"/>
          <w:b/>
          <w:sz w:val="24"/>
          <w:szCs w:val="24"/>
        </w:rPr>
        <w:t>注：上表所列内容为不可负偏离条款</w:t>
      </w:r>
      <w:bookmarkEnd w:id="27"/>
    </w:p>
    <w:p>
      <w:pPr>
        <w:rPr>
          <w:b/>
          <w:szCs w:val="21"/>
        </w:rPr>
      </w:pPr>
    </w:p>
    <w:p>
      <w:pPr>
        <w:pStyle w:val="5"/>
        <w:spacing w:before="120" w:beforeLines="50" w:after="120" w:afterLines="50"/>
        <w:rPr>
          <w:sz w:val="28"/>
          <w:szCs w:val="28"/>
        </w:rPr>
      </w:pPr>
      <w:r>
        <w:rPr>
          <w:rFonts w:hint="eastAsia"/>
          <w:sz w:val="28"/>
          <w:szCs w:val="28"/>
        </w:rPr>
        <w:t>四、具体技术要求</w:t>
      </w:r>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”指标项为实质性条款，如出现负偏离，将被视为未实质性满足招标文件要求作投标无效处理。带“</w:t>
      </w:r>
      <w:r>
        <w:t>▲</w:t>
      </w:r>
      <w:r>
        <w:rPr>
          <w:rFonts w:hint="eastAsia"/>
          <w:b/>
          <w:szCs w:val="21"/>
        </w:rPr>
        <w:t xml:space="preserve">”指标项为重要参数，负偏离时依相关评分准则内容作重点扣分处理。 </w:t>
      </w:r>
    </w:p>
    <w:p>
      <w:pPr>
        <w:ind w:firstLine="422" w:firstLineChars="200"/>
        <w:rPr>
          <w:b/>
          <w:szCs w:val="21"/>
        </w:rPr>
      </w:pPr>
      <w:r>
        <w:rPr>
          <w:rFonts w:hint="eastAsia"/>
          <w:b/>
          <w:szCs w:val="21"/>
        </w:rPr>
        <w:t>2、招标技术要求中，用红色加粗字体标注的技术条款为要求提供证明资料的条款，</w:t>
      </w:r>
      <w:r>
        <w:rPr>
          <w:rFonts w:hint="eastAsia"/>
          <w:b/>
          <w:color w:val="FF0000"/>
          <w:szCs w:val="21"/>
        </w:rPr>
        <w:t>共3项</w:t>
      </w:r>
      <w:r>
        <w:rPr>
          <w:rFonts w:hint="eastAsia"/>
          <w:b/>
          <w:szCs w:val="21"/>
        </w:rPr>
        <w:t>，其余为未要求提供证明资料的条款，无需提供相关证明资料。</w:t>
      </w:r>
    </w:p>
    <w:p>
      <w:pPr>
        <w:ind w:firstLine="422" w:firstLineChars="200"/>
        <w:rPr>
          <w:b/>
          <w:szCs w:val="21"/>
        </w:rPr>
      </w:pPr>
      <w:r>
        <w:rPr>
          <w:rFonts w:hint="eastAsia"/>
          <w:b/>
        </w:rPr>
        <w:t>3、评分时，如对一项招标技术要求（以划分框为准）中的内容存在两处（或以上）负偏离的，在评分时只作一项负偏离扣分。</w:t>
      </w:r>
    </w:p>
    <w:tbl>
      <w:tblPr>
        <w:tblStyle w:val="43"/>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货物名称</w:t>
            </w:r>
          </w:p>
        </w:tc>
        <w:tc>
          <w:tcPr>
            <w:tcW w:w="666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1</w:t>
            </w:r>
          </w:p>
        </w:tc>
        <w:tc>
          <w:tcPr>
            <w:tcW w:w="1134"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sz w:val="20"/>
                <w:szCs w:val="20"/>
              </w:rPr>
              <w:t>60岁及以上老年人流感疫苗</w:t>
            </w:r>
          </w:p>
        </w:tc>
        <w:tc>
          <w:tcPr>
            <w:tcW w:w="666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b/>
                <w:sz w:val="20"/>
                <w:szCs w:val="20"/>
              </w:rPr>
            </w:pPr>
            <w:r>
              <w:rPr>
                <w:rFonts w:hint="eastAsia" w:asciiTheme="minorEastAsia" w:hAnsiTheme="minorEastAsia" w:eastAsiaTheme="minorEastAsia"/>
                <w:b/>
                <w:sz w:val="20"/>
                <w:szCs w:val="20"/>
              </w:rPr>
              <w:t>1.1</w:t>
            </w:r>
            <w:r>
              <w:rPr>
                <w:rFonts w:hint="eastAsia" w:asciiTheme="minorEastAsia" w:hAnsiTheme="minorEastAsia" w:eastAsiaTheme="minorEastAsia"/>
                <w:sz w:val="20"/>
                <w:szCs w:val="20"/>
              </w:rPr>
              <w:t>投标产品剂型：液体注射剂，包装：预填充注射器装，规格：每瓶</w:t>
            </w:r>
            <w:r>
              <w:rPr>
                <w:rFonts w:asciiTheme="minorEastAsia" w:hAnsiTheme="minorEastAsia" w:eastAsiaTheme="minorEastAsia"/>
                <w:sz w:val="20"/>
                <w:szCs w:val="20"/>
              </w:rPr>
              <w:t>0.5ml/</w:t>
            </w:r>
            <w:r>
              <w:rPr>
                <w:rFonts w:hint="eastAsia" w:asciiTheme="minorEastAsia" w:hAnsiTheme="minorEastAsia" w:eastAsiaTheme="minorEastAsia"/>
                <w:sz w:val="20"/>
                <w:szCs w:val="20"/>
              </w:rPr>
              <w:t>支，每</w:t>
            </w:r>
            <w:r>
              <w:rPr>
                <w:rFonts w:asciiTheme="minorEastAsia" w:hAnsiTheme="minorEastAsia" w:eastAsiaTheme="minorEastAsia"/>
                <w:sz w:val="20"/>
                <w:szCs w:val="20"/>
              </w:rPr>
              <w:t>1</w:t>
            </w:r>
            <w:r>
              <w:rPr>
                <w:rFonts w:hint="eastAsia" w:asciiTheme="minorEastAsia" w:hAnsiTheme="minorEastAsia" w:eastAsiaTheme="minorEastAsia"/>
                <w:sz w:val="20"/>
                <w:szCs w:val="20"/>
              </w:rPr>
              <w:t>次人用剂量</w:t>
            </w:r>
            <w:r>
              <w:rPr>
                <w:rFonts w:asciiTheme="minorEastAsia" w:hAnsiTheme="minorEastAsia" w:eastAsiaTheme="minorEastAsia"/>
                <w:sz w:val="20"/>
                <w:szCs w:val="20"/>
              </w:rPr>
              <w:t>0.5ml</w:t>
            </w:r>
            <w:r>
              <w:rPr>
                <w:rFonts w:hint="eastAsia" w:asciiTheme="minorEastAsia" w:hAnsiTheme="minorEastAsia" w:eastAsiaTheme="minor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666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b/>
                <w:sz w:val="20"/>
                <w:szCs w:val="20"/>
              </w:rPr>
            </w:pPr>
            <w:r>
              <w:rPr>
                <w:rFonts w:hint="eastAsia" w:asciiTheme="minorEastAsia" w:hAnsiTheme="minorEastAsia" w:eastAsiaTheme="minorEastAsia"/>
                <w:sz w:val="20"/>
                <w:szCs w:val="20"/>
              </w:rPr>
              <w:t>▲1.2投标产品质量符合《中华人民共和国药典（2020年版）》的标准。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666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b/>
                <w:color w:val="FF0000"/>
                <w:sz w:val="20"/>
                <w:szCs w:val="20"/>
              </w:rPr>
            </w:pPr>
            <w:r>
              <w:rPr>
                <w:rFonts w:hint="eastAsia" w:asciiTheme="minorEastAsia" w:hAnsiTheme="minorEastAsia" w:eastAsiaTheme="minorEastAsia"/>
                <w:b/>
                <w:color w:val="FF0000"/>
                <w:sz w:val="20"/>
                <w:szCs w:val="20"/>
              </w:rPr>
              <w:t>1.3投标人需提供投标产品上市后安全性、免疫效果和流行病学效果评价的相关研究文献扫描件，原件备查。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666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b/>
                <w:color w:val="FF0000"/>
                <w:sz w:val="20"/>
                <w:szCs w:val="20"/>
              </w:rPr>
            </w:pPr>
            <w:r>
              <w:rPr>
                <w:rFonts w:hint="eastAsia" w:asciiTheme="minorEastAsia" w:hAnsiTheme="minorEastAsia" w:eastAsiaTheme="minorEastAsia"/>
                <w:b/>
                <w:sz w:val="20"/>
                <w:szCs w:val="20"/>
              </w:rPr>
              <w:t>▲</w:t>
            </w:r>
            <w:r>
              <w:rPr>
                <w:rFonts w:hint="eastAsia" w:asciiTheme="minorEastAsia" w:hAnsiTheme="minorEastAsia" w:eastAsiaTheme="minorEastAsia"/>
                <w:b/>
                <w:color w:val="FF0000"/>
                <w:sz w:val="20"/>
                <w:szCs w:val="20"/>
              </w:rPr>
              <w:t>1.4投标企业具有完善的不良反应监测制度，并提供预防接种异常反应监测数据和分析报告</w:t>
            </w:r>
            <w:r>
              <w:rPr>
                <w:rFonts w:hint="eastAsia" w:asciiTheme="minorEastAsia" w:hAnsiTheme="minorEastAsia" w:eastAsiaTheme="minorEastAsia"/>
                <w:b/>
                <w:color w:val="FF0000"/>
                <w:sz w:val="20"/>
                <w:szCs w:val="20"/>
                <w:highlight w:val="yellow"/>
              </w:rPr>
              <w:t>或</w:t>
            </w:r>
            <w:r>
              <w:rPr>
                <w:rFonts w:hint="eastAsia" w:asciiTheme="minorEastAsia" w:hAnsiTheme="minorEastAsia" w:eastAsiaTheme="minorEastAsia"/>
                <w:b/>
                <w:color w:val="FF0000"/>
                <w:sz w:val="20"/>
                <w:szCs w:val="20"/>
              </w:rPr>
              <w:t>参与免疫接种异常反应处理情况报告扫描件（至少提供3份），原件备查。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666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b/>
                <w:sz w:val="20"/>
                <w:szCs w:val="20"/>
              </w:rPr>
            </w:pPr>
            <w:r>
              <w:rPr>
                <w:rFonts w:hint="eastAsia" w:asciiTheme="minorEastAsia" w:hAnsiTheme="minorEastAsia" w:eastAsiaTheme="minorEastAsia"/>
                <w:b/>
                <w:sz w:val="20"/>
                <w:szCs w:val="20"/>
              </w:rPr>
              <w:t>1.5</w:t>
            </w:r>
            <w:r>
              <w:rPr>
                <w:rFonts w:hint="eastAsia" w:asciiTheme="minorEastAsia" w:hAnsiTheme="minorEastAsia" w:eastAsiaTheme="minorEastAsia"/>
                <w:sz w:val="20"/>
                <w:szCs w:val="20"/>
              </w:rPr>
              <w:t>投标人应提供技术成熟的符合用户需求的新型免疫规划疫苗，并确保其完整性和可靠性。</w:t>
            </w:r>
            <w:r>
              <w:rPr>
                <w:rFonts w:asciiTheme="minorEastAsia" w:hAnsiTheme="minorEastAsia" w:eastAsiaTheme="minor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1134" w:type="dxa"/>
            <w:vMerge w:val="continue"/>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b/>
                <w:sz w:val="20"/>
                <w:szCs w:val="20"/>
              </w:rPr>
            </w:pPr>
          </w:p>
        </w:tc>
        <w:tc>
          <w:tcPr>
            <w:tcW w:w="666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b/>
                <w:color w:val="FF0000"/>
                <w:sz w:val="20"/>
                <w:szCs w:val="20"/>
              </w:rPr>
            </w:pPr>
            <w:r>
              <w:rPr>
                <w:rFonts w:hint="eastAsia" w:asciiTheme="minorEastAsia" w:hAnsiTheme="minorEastAsia" w:eastAsiaTheme="minorEastAsia"/>
                <w:b/>
                <w:sz w:val="20"/>
                <w:szCs w:val="20"/>
              </w:rPr>
              <w:t>▲</w:t>
            </w:r>
            <w:r>
              <w:rPr>
                <w:rFonts w:hint="eastAsia" w:asciiTheme="minorEastAsia" w:hAnsiTheme="minorEastAsia" w:eastAsiaTheme="minorEastAsia"/>
                <w:b/>
                <w:color w:val="FF0000"/>
                <w:sz w:val="20"/>
                <w:szCs w:val="20"/>
              </w:rPr>
              <w:t>1.6投标人需提供二类疫苗基础保险合同扫描件，原件备查。</w:t>
            </w:r>
          </w:p>
        </w:tc>
      </w:tr>
    </w:tbl>
    <w:p>
      <w:pPr>
        <w:rPr>
          <w:b/>
          <w:szCs w:val="21"/>
        </w:rPr>
      </w:pPr>
    </w:p>
    <w:p>
      <w:pPr>
        <w:rPr>
          <w:b/>
          <w:szCs w:val="21"/>
        </w:rPr>
      </w:pPr>
    </w:p>
    <w:p>
      <w:pPr>
        <w:rPr>
          <w:b/>
          <w:szCs w:val="21"/>
        </w:rPr>
      </w:pPr>
    </w:p>
    <w:p>
      <w:pPr>
        <w:rPr>
          <w:b/>
          <w:szCs w:val="21"/>
        </w:rPr>
      </w:pPr>
    </w:p>
    <w:p>
      <w:pPr>
        <w:pStyle w:val="5"/>
        <w:spacing w:before="120" w:beforeLines="50" w:after="120" w:afterLines="50"/>
        <w:rPr>
          <w:sz w:val="28"/>
          <w:szCs w:val="28"/>
        </w:rPr>
      </w:pPr>
      <w:r>
        <w:rPr>
          <w:rFonts w:hint="eastAsia"/>
          <w:sz w:val="28"/>
          <w:szCs w:val="28"/>
        </w:rPr>
        <w:t>五、商务需求</w:t>
      </w:r>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”指标项为实质性条款，如出现负偏离，将被视为未实质性满足招标文件要求作投标无效处理。</w:t>
      </w:r>
    </w:p>
    <w:p>
      <w:pPr>
        <w:ind w:firstLine="422" w:firstLineChars="200"/>
        <w:rPr>
          <w:b/>
        </w:rPr>
      </w:pPr>
      <w:r>
        <w:rPr>
          <w:rFonts w:hint="eastAsia"/>
          <w:b/>
        </w:rPr>
        <w:t>2、评分时，如对一项招标商务需求（以划分框为准，一个划分框是作为一项招标商务需求）中的内容存在两处（或以上）负偏离的，在评分时只作一项负偏离扣分。</w:t>
      </w:r>
    </w:p>
    <w:tbl>
      <w:tblPr>
        <w:tblStyle w:val="43"/>
        <w:tblW w:w="92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276"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260"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46" w:type="dxa"/>
            <w:gridSpan w:val="3"/>
          </w:tcPr>
          <w:p>
            <w:pP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维修响应及故障解决时间</w:t>
            </w:r>
          </w:p>
        </w:tc>
        <w:tc>
          <w:tcPr>
            <w:tcW w:w="7260" w:type="dxa"/>
          </w:tcPr>
          <w:p>
            <w:pPr>
              <w:rPr>
                <w:rFonts w:asciiTheme="minorEastAsia" w:hAnsiTheme="minorEastAsia" w:eastAsiaTheme="minorEastAsia"/>
                <w:b/>
                <w:szCs w:val="21"/>
              </w:rPr>
            </w:pPr>
            <w:r>
              <w:rPr>
                <w:rFonts w:hint="eastAsia" w:asciiTheme="minorEastAsia" w:hAnsiTheme="minorEastAsia" w:eastAsiaTheme="minorEastAsia"/>
                <w:bCs/>
                <w:szCs w:val="21"/>
              </w:rPr>
              <w:t>在保修期内，一旦发生质量问题，投标人保证在接到通知24小时内赶到现场进行修理或更换。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关于免费保修期</w:t>
            </w:r>
          </w:p>
        </w:tc>
        <w:tc>
          <w:tcPr>
            <w:tcW w:w="7260" w:type="dxa"/>
          </w:tcPr>
          <w:p>
            <w:pPr>
              <w:rPr>
                <w:rFonts w:asciiTheme="minorEastAsia" w:hAnsiTheme="minorEastAsia" w:eastAsiaTheme="minorEastAsia"/>
                <w:b/>
                <w:szCs w:val="21"/>
              </w:rPr>
            </w:pPr>
            <w:r>
              <w:rPr>
                <w:rFonts w:hint="eastAsia" w:asciiTheme="minorEastAsia" w:hAnsiTheme="minorEastAsia" w:eastAsiaTheme="minorEastAsia"/>
                <w:b/>
                <w:kern w:val="0"/>
                <w:szCs w:val="21"/>
              </w:rPr>
              <w:t>★</w:t>
            </w:r>
            <w:r>
              <w:rPr>
                <w:rFonts w:hint="eastAsia" w:asciiTheme="minorEastAsia" w:hAnsiTheme="minorEastAsia" w:eastAsiaTheme="minorEastAsia"/>
                <w:color w:val="FF0000"/>
                <w:kern w:val="0"/>
                <w:szCs w:val="21"/>
              </w:rPr>
              <w:t>1.1货物免费保修期（即疫苗有效期）：从到货日期算起到失效≥5个月</w:t>
            </w:r>
            <w:r>
              <w:rPr>
                <w:rFonts w:hint="eastAsia" w:asciiTheme="minorEastAsia" w:hAnsiTheme="minorEastAsia" w:eastAsiaTheme="minorEastAsia"/>
                <w:bCs/>
                <w:szCs w:val="21"/>
              </w:rPr>
              <w:t>，时间自最终验收合格并交付使用之日起计算。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其他</w:t>
            </w:r>
          </w:p>
        </w:tc>
        <w:tc>
          <w:tcPr>
            <w:tcW w:w="7260" w:type="dxa"/>
            <w:vAlign w:val="center"/>
          </w:tcPr>
          <w:p>
            <w:pPr>
              <w:rPr>
                <w:rFonts w:asciiTheme="minorEastAsia" w:hAnsiTheme="minorEastAsia" w:eastAsiaTheme="minorEastAsia"/>
                <w:b/>
                <w:szCs w:val="21"/>
              </w:rPr>
            </w:pPr>
            <w:r>
              <w:rPr>
                <w:rFonts w:hint="eastAsia" w:asciiTheme="minorEastAsia" w:hAnsiTheme="minorEastAsia" w:eastAsiaTheme="minorEastAsia"/>
                <w:szCs w:val="21"/>
              </w:rPr>
              <w:t>3.1在交货时提供中国药品生物制品检定所出具的产品批签发合格证、质检报告及样品等相关资料。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vAlign w:val="center"/>
          </w:tcPr>
          <w:p>
            <w:pPr>
              <w:rPr>
                <w:rFonts w:asciiTheme="minorEastAsia" w:hAnsiTheme="minorEastAsia" w:eastAsiaTheme="minorEastAsia"/>
                <w:bCs/>
                <w:szCs w:val="21"/>
              </w:rPr>
            </w:pPr>
            <w:r>
              <w:rPr>
                <w:rFonts w:hint="eastAsia" w:asciiTheme="minorEastAsia" w:hAnsiTheme="minorEastAsia" w:eastAsiaTheme="minorEastAsia"/>
                <w:szCs w:val="21"/>
              </w:rPr>
              <w:t>3.2符合《生物制品包装规程》的标准，具有良好的密封性和防潮性，破损率低于国家规定标准。大、中、小包装上都应标明“免费”字样标识。大包装指整箱，中包装指大包装里面的中盒，小包装指每剂次的包装盒。大、中（如有）、小包装均应印有批号（生产日期）、失效期等包装标识，小包装应附中文使用说明书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vAlign w:val="center"/>
          </w:tcPr>
          <w:p>
            <w:pPr>
              <w:rPr>
                <w:rFonts w:asciiTheme="minorEastAsia" w:hAnsiTheme="minorEastAsia" w:eastAsiaTheme="minorEastAsia"/>
                <w:bCs/>
                <w:szCs w:val="21"/>
              </w:rPr>
            </w:pPr>
            <w:r>
              <w:rPr>
                <w:rFonts w:hint="eastAsia" w:asciiTheme="minorEastAsia" w:hAnsiTheme="minorEastAsia" w:eastAsiaTheme="minorEastAsia"/>
                <w:bCs/>
                <w:szCs w:val="21"/>
              </w:rPr>
              <w:t>3.3投标人应按其投标文件中的承诺，进行其他售后服务工作。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vAlign w:val="center"/>
          </w:tcPr>
          <w:p>
            <w:pPr>
              <w:rPr>
                <w:rFonts w:asciiTheme="minorEastAsia" w:hAnsiTheme="minorEastAsia" w:eastAsiaTheme="minorEastAsia"/>
                <w:bCs/>
                <w:szCs w:val="21"/>
              </w:rPr>
            </w:pPr>
            <w:r>
              <w:rPr>
                <w:rFonts w:hint="eastAsia" w:asciiTheme="minorEastAsia" w:hAnsiTheme="minorEastAsia" w:eastAsiaTheme="minorEastAsia"/>
                <w:szCs w:val="21"/>
              </w:rPr>
              <w:t>3.4投标人在中标后提供有关免疫规划疫苗使用的中文文件（说明书和相关资料）。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bCs/>
                <w:szCs w:val="21"/>
              </w:rPr>
            </w:pPr>
            <w:r>
              <w:rPr>
                <w:rFonts w:hint="eastAsia" w:asciiTheme="minorEastAsia" w:hAnsiTheme="minorEastAsia" w:eastAsiaTheme="minorEastAsia"/>
                <w:szCs w:val="21"/>
              </w:rPr>
              <w:t>3.5投标人在中标后提供免疫规划疫苗执行的生产标准和测试验收标准。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3.6投标人在中标后提供有关免疫规划疫苗使用的中文文件（说明书和相关资料）。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3.7投标人在中标后提供免疫规划疫苗执行的生产标准和测试验收标准。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46" w:type="dxa"/>
            <w:gridSpan w:val="3"/>
          </w:tcPr>
          <w:p>
            <w:pPr>
              <w:rPr>
                <w:rFonts w:asciiTheme="minorEastAsia" w:hAnsiTheme="minorEastAsia" w:eastAsiaTheme="minorEastAsia"/>
                <w:b/>
                <w:szCs w:val="21"/>
              </w:rPr>
            </w:pPr>
            <w:r>
              <w:rPr>
                <w:rFonts w:hint="eastAsia" w:asciiTheme="minorEastAsia" w:hAnsiTheme="minorEastAsia" w:eastAsiaTheme="minorEastAsia"/>
                <w:b/>
                <w:szCs w:val="21"/>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关于交货</w:t>
            </w:r>
          </w:p>
        </w:tc>
        <w:tc>
          <w:tcPr>
            <w:tcW w:w="7260" w:type="dxa"/>
          </w:tcPr>
          <w:p>
            <w:pPr>
              <w:rPr>
                <w:rFonts w:asciiTheme="minorEastAsia" w:hAnsiTheme="minorEastAsia" w:eastAsiaTheme="minorEastAsia"/>
                <w:bCs/>
                <w:szCs w:val="21"/>
              </w:rPr>
            </w:pPr>
            <w:r>
              <w:rPr>
                <w:rFonts w:hint="eastAsia" w:asciiTheme="minorEastAsia" w:hAnsiTheme="minorEastAsia" w:eastAsiaTheme="minorEastAsia"/>
                <w:bCs/>
                <w:szCs w:val="21"/>
              </w:rPr>
              <w:t>1.1交货地点：深圳市龙华区建辉路123号1、2栋国药控股广州有限公司冷库。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szCs w:val="21"/>
              </w:rPr>
            </w:pPr>
          </w:p>
        </w:tc>
        <w:tc>
          <w:tcPr>
            <w:tcW w:w="1276" w:type="dxa"/>
            <w:vMerge w:val="continue"/>
            <w:vAlign w:val="center"/>
          </w:tcPr>
          <w:p>
            <w:pPr>
              <w:widowControl/>
              <w:jc w:val="left"/>
              <w:rPr>
                <w:rFonts w:asciiTheme="minorEastAsia" w:hAnsiTheme="minorEastAsia" w:eastAsiaTheme="minorEastAsia"/>
                <w:szCs w:val="21"/>
              </w:rPr>
            </w:pPr>
          </w:p>
        </w:tc>
        <w:tc>
          <w:tcPr>
            <w:tcW w:w="7260" w:type="dxa"/>
          </w:tcPr>
          <w:p>
            <w:pPr>
              <w:rPr>
                <w:rFonts w:asciiTheme="minorEastAsia" w:hAnsiTheme="minorEastAsia" w:eastAsiaTheme="minorEastAsia"/>
                <w:bCs/>
                <w:color w:val="FF0000"/>
                <w:szCs w:val="21"/>
              </w:rPr>
            </w:pPr>
            <w:r>
              <w:rPr>
                <w:rFonts w:hint="eastAsia" w:asciiTheme="minorEastAsia" w:hAnsiTheme="minorEastAsia" w:eastAsiaTheme="minorEastAsia"/>
                <w:b/>
                <w:szCs w:val="21"/>
              </w:rPr>
              <w:t>★</w:t>
            </w:r>
            <w:r>
              <w:rPr>
                <w:rFonts w:hint="eastAsia" w:asciiTheme="minorEastAsia" w:hAnsiTheme="minorEastAsia" w:eastAsiaTheme="minorEastAsia"/>
                <w:bCs/>
                <w:color w:val="FF0000"/>
                <w:szCs w:val="21"/>
              </w:rPr>
              <w:t>1.2签订合同后120天（日历日）内第一次交货。</w:t>
            </w:r>
            <w:r>
              <w:rPr>
                <w:rFonts w:hint="eastAsia" w:asciiTheme="minorEastAsia" w:hAnsiTheme="minorEastAsia" w:eastAsiaTheme="minorEastAsia"/>
                <w:szCs w:val="21"/>
              </w:rPr>
              <w:t>首批流感疫苗为最低招标总数的80%，但要视冷库容量而定。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szCs w:val="21"/>
              </w:rPr>
            </w:pPr>
          </w:p>
        </w:tc>
        <w:tc>
          <w:tcPr>
            <w:tcW w:w="1276" w:type="dxa"/>
            <w:vMerge w:val="continue"/>
            <w:vAlign w:val="center"/>
          </w:tcPr>
          <w:p>
            <w:pPr>
              <w:widowControl/>
              <w:jc w:val="left"/>
              <w:rPr>
                <w:rFonts w:asciiTheme="minorEastAsia" w:hAnsiTheme="minorEastAsia" w:eastAsiaTheme="minorEastAsia"/>
                <w:szCs w:val="21"/>
              </w:rPr>
            </w:pPr>
          </w:p>
        </w:tc>
        <w:tc>
          <w:tcPr>
            <w:tcW w:w="7260" w:type="dxa"/>
          </w:tcPr>
          <w:p>
            <w:pPr>
              <w:rPr>
                <w:rFonts w:asciiTheme="minorEastAsia" w:hAnsiTheme="minorEastAsia" w:eastAsiaTheme="minorEastAsia"/>
                <w:bCs/>
                <w:szCs w:val="21"/>
              </w:rPr>
            </w:pPr>
            <w:r>
              <w:rPr>
                <w:rFonts w:hint="eastAsia" w:asciiTheme="minorEastAsia" w:hAnsiTheme="minorEastAsia" w:eastAsiaTheme="minorEastAsia"/>
                <w:szCs w:val="21"/>
              </w:rPr>
              <w:t>1.3第二批流感疫苗为最低招标总数的20%，</w:t>
            </w:r>
            <w:r>
              <w:rPr>
                <w:rFonts w:hint="eastAsia" w:asciiTheme="minorEastAsia" w:hAnsiTheme="minorEastAsia" w:eastAsiaTheme="minorEastAsia"/>
                <w:bCs/>
                <w:szCs w:val="21"/>
              </w:rPr>
              <w:t>后续要根据首批流感疫苗接种情况而定，需按采购人的要求进行送货。</w:t>
            </w:r>
            <w:r>
              <w:rPr>
                <w:rFonts w:hint="eastAsia" w:asciiTheme="minorEastAsia" w:hAnsiTheme="minorEastAsia" w:eastAsiaTheme="minorEastAsia"/>
                <w:szCs w:val="21"/>
              </w:rPr>
              <w:t>该项目为长期货物项目，合同期满可以续签，但合同履行期限最长不得超过二十四个月。如甲方对履约情况不满意，甲方不再续约。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szCs w:val="21"/>
              </w:rPr>
            </w:pPr>
          </w:p>
        </w:tc>
        <w:tc>
          <w:tcPr>
            <w:tcW w:w="1276" w:type="dxa"/>
            <w:vMerge w:val="continue"/>
            <w:vAlign w:val="center"/>
          </w:tcPr>
          <w:p>
            <w:pPr>
              <w:widowControl/>
              <w:jc w:val="left"/>
              <w:rPr>
                <w:rFonts w:asciiTheme="minorEastAsia" w:hAnsiTheme="minorEastAsia" w:eastAsiaTheme="minorEastAsia"/>
                <w:szCs w:val="21"/>
              </w:rPr>
            </w:pPr>
          </w:p>
        </w:tc>
        <w:tc>
          <w:tcPr>
            <w:tcW w:w="7260" w:type="dxa"/>
          </w:tcPr>
          <w:p>
            <w:pPr>
              <w:rPr>
                <w:rFonts w:asciiTheme="minorEastAsia" w:hAnsiTheme="minorEastAsia" w:eastAsiaTheme="minorEastAsia"/>
                <w:bCs/>
                <w:szCs w:val="21"/>
              </w:rPr>
            </w:pPr>
            <w:r>
              <w:rPr>
                <w:rFonts w:hint="eastAsia" w:asciiTheme="minorEastAsia" w:hAnsiTheme="minorEastAsia" w:eastAsiaTheme="minorEastAsia"/>
                <w:bCs/>
                <w:szCs w:val="21"/>
              </w:rPr>
              <w:t>1.4</w:t>
            </w:r>
            <w:r>
              <w:rPr>
                <w:rFonts w:hint="eastAsia" w:asciiTheme="minorEastAsia" w:hAnsiTheme="minorEastAsia" w:eastAsiaTheme="minorEastAsia"/>
                <w:szCs w:val="21"/>
              </w:rPr>
              <w:t>储存和运输要求：疫苗储存和运输要符合《疫苗储存和运输管理规范》的规定，并提供疫苗运输过程中的冷链监测数据。中标人应积极储备足够的储存疫苗，和具有应对采购人紧急订货需求的配送能力或条件。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szCs w:val="21"/>
              </w:rPr>
            </w:pPr>
          </w:p>
        </w:tc>
        <w:tc>
          <w:tcPr>
            <w:tcW w:w="1276" w:type="dxa"/>
            <w:vMerge w:val="continue"/>
            <w:vAlign w:val="center"/>
          </w:tcPr>
          <w:p>
            <w:pPr>
              <w:widowControl/>
              <w:jc w:val="left"/>
              <w:rPr>
                <w:rFonts w:asciiTheme="minorEastAsia" w:hAnsiTheme="minorEastAsia" w:eastAsiaTheme="minorEastAsia"/>
                <w:szCs w:val="21"/>
              </w:rPr>
            </w:pPr>
          </w:p>
        </w:tc>
        <w:tc>
          <w:tcPr>
            <w:tcW w:w="7260" w:type="dxa"/>
          </w:tcPr>
          <w:p>
            <w:pPr>
              <w:rPr>
                <w:rFonts w:asciiTheme="minorEastAsia" w:hAnsiTheme="minorEastAsia" w:eastAsiaTheme="minorEastAsia"/>
                <w:bCs/>
                <w:szCs w:val="21"/>
              </w:rPr>
            </w:pPr>
            <w:r>
              <w:rPr>
                <w:rFonts w:hint="eastAsia" w:asciiTheme="minorEastAsia" w:hAnsiTheme="minorEastAsia" w:eastAsiaTheme="minorEastAsia"/>
                <w:bCs/>
                <w:szCs w:val="21"/>
              </w:rPr>
              <w:t>1.5</w:t>
            </w:r>
            <w:r>
              <w:rPr>
                <w:rFonts w:hint="eastAsia" w:asciiTheme="minorEastAsia" w:hAnsiTheme="minorEastAsia" w:eastAsiaTheme="minorEastAsia"/>
                <w:szCs w:val="21"/>
              </w:rPr>
              <w:t>中标人负责搬运到采购人指定的存放地点，并承担所产生的费用。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关于验收</w:t>
            </w: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2.1投标人应提供技术成熟的符合用户需求的新型免疫规划疫苗，并确保其完整性和可靠性。货物运送至交货地点后，由中标人和采购人进行联合验收。货物的外包装应牢固、完好，符合储存运输要求。在此期间如发现货物有破损，中标人应立即予以更换（费用由中标人承担）。如上述要求不合格，采购人可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szCs w:val="21"/>
              </w:rPr>
            </w:pPr>
          </w:p>
        </w:tc>
        <w:tc>
          <w:tcPr>
            <w:tcW w:w="1276" w:type="dxa"/>
            <w:vMerge w:val="continue"/>
            <w:vAlign w:val="center"/>
          </w:tcPr>
          <w:p>
            <w:pPr>
              <w:widowControl/>
              <w:jc w:val="left"/>
              <w:rPr>
                <w:rFonts w:asciiTheme="minorEastAsia" w:hAnsiTheme="minorEastAsia" w:eastAsiaTheme="minorEastAsia"/>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2.2当满足以下条件时，采购人才向中标人签发货物验收报告：</w:t>
            </w:r>
          </w:p>
          <w:p>
            <w:pPr>
              <w:rPr>
                <w:rFonts w:asciiTheme="minorEastAsia" w:hAnsiTheme="minorEastAsia" w:eastAsiaTheme="minorEastAsia"/>
                <w:szCs w:val="21"/>
              </w:rPr>
            </w:pPr>
            <w:r>
              <w:rPr>
                <w:rFonts w:hint="eastAsia" w:asciiTheme="minorEastAsia" w:hAnsiTheme="minorEastAsia" w:eastAsiaTheme="minorEastAsia"/>
                <w:szCs w:val="21"/>
              </w:rPr>
              <w:t>a、中标人已按照合同规定提供了全部产品及完整的技术资料。</w:t>
            </w:r>
          </w:p>
          <w:p>
            <w:pPr>
              <w:rPr>
                <w:rFonts w:asciiTheme="minorEastAsia" w:hAnsiTheme="minorEastAsia" w:eastAsiaTheme="minorEastAsia"/>
                <w:szCs w:val="21"/>
              </w:rPr>
            </w:pPr>
            <w:r>
              <w:rPr>
                <w:rFonts w:hint="eastAsia" w:asciiTheme="minorEastAsia" w:hAnsiTheme="minorEastAsia" w:eastAsiaTheme="minorEastAsia"/>
                <w:szCs w:val="21"/>
              </w:rPr>
              <w:t>b、货物符合招标文件技术规格书的要求，性能满足要求。</w:t>
            </w:r>
          </w:p>
          <w:p>
            <w:pPr>
              <w:rPr>
                <w:rFonts w:asciiTheme="minorEastAsia" w:hAnsiTheme="minorEastAsia" w:eastAsiaTheme="minorEastAsia"/>
                <w:szCs w:val="21"/>
              </w:rPr>
            </w:pPr>
            <w:r>
              <w:rPr>
                <w:rFonts w:hint="eastAsia" w:asciiTheme="minorEastAsia" w:hAnsiTheme="minorEastAsia" w:eastAsiaTheme="minorEastAsia"/>
                <w:szCs w:val="21"/>
              </w:rPr>
              <w:t>c、货物具备产品合格证。</w:t>
            </w:r>
          </w:p>
          <w:p>
            <w:pPr>
              <w:rPr>
                <w:rFonts w:asciiTheme="minorEastAsia" w:hAnsiTheme="minorEastAsia" w:eastAsiaTheme="minorEastAsia"/>
                <w:szCs w:val="21"/>
              </w:rPr>
            </w:pPr>
            <w:r>
              <w:rPr>
                <w:rFonts w:hint="eastAsia" w:asciiTheme="minorEastAsia" w:hAnsiTheme="minorEastAsia" w:eastAsiaTheme="minorEastAsia"/>
                <w:szCs w:val="21"/>
              </w:rPr>
              <w:t>d、按有关标准提供免疫规划疫苗包装，按采购人的订购计划并采用冷链要求将其运抵交货地点。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关于违约</w:t>
            </w: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3.1中标人不能交货的，需偿付不能交货部分货款的  30 %的违约金并按主管部门相关规定处理。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3.2中标人逾期交货的，将按主管部门相关规定处理。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3.3中标人所交付产品、服务不符合其投标承诺的，或在投标阶段为了中标而盲目虚假承诺、低价恶性竞争，在履约阶段则通过偷工减料、以次充好而获取利润的，将被履约评价工作实施机构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关于付款</w:t>
            </w:r>
          </w:p>
        </w:tc>
        <w:tc>
          <w:tcPr>
            <w:tcW w:w="7260" w:type="dxa"/>
          </w:tcPr>
          <w:p>
            <w:pPr>
              <w:rPr>
                <w:rFonts w:asciiTheme="minorEastAsia" w:hAnsiTheme="minorEastAsia" w:eastAsiaTheme="minorEastAsia"/>
                <w:b/>
                <w:color w:val="FF0000"/>
                <w:szCs w:val="21"/>
              </w:rPr>
            </w:pPr>
            <w:r>
              <w:rPr>
                <w:rFonts w:hint="eastAsia" w:asciiTheme="minorEastAsia" w:hAnsiTheme="minorEastAsia" w:eastAsiaTheme="minorEastAsia"/>
                <w:b/>
                <w:szCs w:val="21"/>
              </w:rPr>
              <w:t>按深圳市财政部门的规定国库直接支付。合同签订并备案同意后预支付总数量的80%作为疫苗预付款，后续按每次到货验收合格后进行支付。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其他</w:t>
            </w:r>
          </w:p>
        </w:tc>
        <w:tc>
          <w:tcPr>
            <w:tcW w:w="7260" w:type="dxa"/>
          </w:tcPr>
          <w:p>
            <w:pPr>
              <w:rPr>
                <w:rFonts w:asciiTheme="minorEastAsia" w:hAnsiTheme="minorEastAsia" w:eastAsiaTheme="minorEastAsia"/>
                <w:b/>
                <w:szCs w:val="21"/>
              </w:rPr>
            </w:pPr>
            <w:r>
              <w:rPr>
                <w:rFonts w:hint="eastAsia" w:asciiTheme="minorEastAsia" w:hAnsiTheme="minorEastAsia" w:eastAsiaTheme="minorEastAsia"/>
                <w:szCs w:val="21"/>
              </w:rPr>
              <w:t>5.1中标人应确保疫苗的完整性。对于招标文件没有列出，而对疫苗的正常使用必不可少的且应属于疫苗需求配带的物品，中标人有责任给予补充。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5.2中标人提供的所有疫苗都应是制造商的原厂全新的。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szCs w:val="21"/>
              </w:rPr>
              <w:t>5.3中标人应有技术指导、培训、质量监督、维护保养和异常反应监测处理等项目的服务和经费列支。中标人应承诺协助采购人处理疑似预防接种异常反应，并提供处理措施方案。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Merge w:val="continue"/>
            <w:vAlign w:val="center"/>
          </w:tcPr>
          <w:p>
            <w:pPr>
              <w:widowControl/>
              <w:jc w:val="left"/>
              <w:rPr>
                <w:rFonts w:asciiTheme="minorEastAsia" w:hAnsiTheme="minorEastAsia" w:eastAsiaTheme="minorEastAsia"/>
                <w:b/>
                <w:szCs w:val="21"/>
              </w:rPr>
            </w:pPr>
          </w:p>
        </w:tc>
        <w:tc>
          <w:tcPr>
            <w:tcW w:w="1276" w:type="dxa"/>
            <w:vMerge w:val="continue"/>
            <w:vAlign w:val="center"/>
          </w:tcPr>
          <w:p>
            <w:pPr>
              <w:widowControl/>
              <w:jc w:val="left"/>
              <w:rPr>
                <w:rFonts w:asciiTheme="minorEastAsia" w:hAnsiTheme="minorEastAsia" w:eastAsiaTheme="minorEastAsia"/>
                <w:b/>
                <w:szCs w:val="21"/>
              </w:rPr>
            </w:pPr>
          </w:p>
        </w:tc>
        <w:tc>
          <w:tcPr>
            <w:tcW w:w="7260" w:type="dxa"/>
          </w:tcPr>
          <w:p>
            <w:pPr>
              <w:rPr>
                <w:rFonts w:asciiTheme="minorEastAsia" w:hAnsiTheme="minorEastAsia" w:eastAsiaTheme="minorEastAsia"/>
                <w:szCs w:val="21"/>
              </w:rPr>
            </w:pPr>
            <w:r>
              <w:rPr>
                <w:rFonts w:hint="eastAsia" w:asciiTheme="minorEastAsia" w:hAnsiTheme="minorEastAsia" w:eastAsiaTheme="minorEastAsia"/>
                <w:b/>
                <w:szCs w:val="21"/>
              </w:rPr>
              <w:t>▲</w:t>
            </w:r>
            <w:r>
              <w:rPr>
                <w:rFonts w:hint="eastAsia" w:asciiTheme="minorEastAsia" w:hAnsiTheme="minorEastAsia" w:eastAsiaTheme="minorEastAsia"/>
                <w:szCs w:val="21"/>
              </w:rPr>
              <w:t>5.4中标人协助采购人开展疫苗电子监管码使用管理工作的相关事宜。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276"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项目（产品）要求</w:t>
            </w:r>
          </w:p>
        </w:tc>
        <w:tc>
          <w:tcPr>
            <w:tcW w:w="7260" w:type="dxa"/>
          </w:tcPr>
          <w:p>
            <w:pPr>
              <w:rPr>
                <w:rFonts w:asciiTheme="minorEastAsia" w:hAnsiTheme="minorEastAsia" w:eastAsiaTheme="minorEastAsia"/>
                <w:b/>
                <w:szCs w:val="21"/>
              </w:rPr>
            </w:pPr>
            <w:r>
              <w:rPr>
                <w:rFonts w:hint="eastAsia" w:asciiTheme="minorEastAsia" w:hAnsiTheme="minorEastAsia" w:eastAsiaTheme="minorEastAsia"/>
                <w:b/>
                <w:color w:val="FF0000"/>
                <w:szCs w:val="21"/>
              </w:rPr>
              <w:t>★</w:t>
            </w:r>
            <w:r>
              <w:rPr>
                <w:rFonts w:asciiTheme="minorEastAsia" w:hAnsiTheme="minorEastAsia" w:eastAsiaTheme="minorEastAsia"/>
                <w:b/>
                <w:color w:val="FF0000"/>
                <w:szCs w:val="21"/>
              </w:rPr>
              <w:t>投标人应提供药品监督管理部门颁发的所投产品</w:t>
            </w:r>
            <w:r>
              <w:rPr>
                <w:rFonts w:hint="eastAsia" w:asciiTheme="minorEastAsia" w:hAnsiTheme="minorEastAsia" w:eastAsiaTheme="minorEastAsia"/>
                <w:b/>
                <w:color w:val="FF0000"/>
                <w:szCs w:val="21"/>
              </w:rPr>
              <w:t>（药品通用名称：四价流感病毒裂解疫苗）</w:t>
            </w:r>
            <w:r>
              <w:rPr>
                <w:rFonts w:asciiTheme="minorEastAsia" w:hAnsiTheme="minorEastAsia" w:eastAsiaTheme="minorEastAsia"/>
                <w:b/>
                <w:color w:val="FF0000"/>
                <w:szCs w:val="21"/>
              </w:rPr>
              <w:t>在有效期内的《药品注册证》或《药品注册批件》等药品注册证明文件扫描件，原件备查。</w:t>
            </w:r>
          </w:p>
        </w:tc>
      </w:tr>
    </w:tbl>
    <w:p>
      <w:pPr>
        <w:ind w:firstLine="420" w:firstLineChars="200"/>
      </w:pPr>
    </w:p>
    <w:p>
      <w:pPr>
        <w:pStyle w:val="5"/>
        <w:spacing w:before="120" w:beforeLines="50" w:after="120" w:afterLines="50"/>
        <w:rPr>
          <w:sz w:val="28"/>
          <w:szCs w:val="28"/>
        </w:rPr>
      </w:pPr>
      <w:r>
        <w:rPr>
          <w:rFonts w:hint="eastAsia"/>
          <w:sz w:val="28"/>
          <w:szCs w:val="28"/>
        </w:rPr>
        <w:t>六、政策导向</w:t>
      </w:r>
    </w:p>
    <w:p>
      <w:pPr>
        <w:spacing w:line="400" w:lineRule="exact"/>
        <w:ind w:firstLine="315" w:firstLineChars="150"/>
        <w:rPr>
          <w:bCs/>
          <w:szCs w:val="21"/>
        </w:rPr>
      </w:pPr>
      <w:r>
        <w:rPr>
          <w:rFonts w:hint="eastAsia"/>
          <w:bCs/>
          <w:szCs w:val="21"/>
        </w:rPr>
        <w:t>1、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LNG或电动工程机械、装卸机械的比例不低于30%。</w:t>
      </w:r>
    </w:p>
    <w:p>
      <w:pPr>
        <w:ind w:firstLine="405"/>
        <w:rPr>
          <w:rFonts w:ascii="宋体" w:hAnsi="宋体"/>
        </w:rPr>
      </w:pPr>
      <w:r>
        <w:rPr>
          <w:rFonts w:hint="eastAsia"/>
          <w:color w:val="000000"/>
          <w:shd w:val="clear" w:color="auto" w:fill="FFFFFF"/>
        </w:rPr>
        <w:t>2、</w:t>
      </w:r>
      <w:r>
        <w:rPr>
          <w:rFonts w:hint="eastAsia" w:ascii="宋体" w:hAnsi="宋体"/>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pPr>
        <w:ind w:firstLine="405"/>
        <w:rPr>
          <w:rFonts w:ascii="宋体" w:hAnsi="宋体"/>
        </w:rPr>
      </w:pPr>
      <w:r>
        <w:rPr>
          <w:rFonts w:hint="eastAsia" w:ascii="宋体" w:hAnsi="宋体"/>
        </w:rPr>
        <w:t>3、“信用中国”、“中国政府采购网”、“深圳信用网”以及“深圳市政府采购监管网”为供应商信用信息的查询渠道，相关信息以开标当日的查询结果为准。</w:t>
      </w:r>
    </w:p>
    <w:p>
      <w:pPr>
        <w:pStyle w:val="5"/>
        <w:rPr>
          <w:kern w:val="2"/>
        </w:rPr>
      </w:pPr>
      <w:r>
        <w:rPr>
          <w:rFonts w:hint="eastAsia"/>
          <w:kern w:val="2"/>
        </w:rPr>
        <w:t>第三章</w:t>
      </w:r>
      <w:r>
        <w:rPr>
          <w:kern w:val="2"/>
        </w:rPr>
        <w:t xml:space="preserve"> </w:t>
      </w:r>
      <w:r>
        <w:rPr>
          <w:rFonts w:hint="eastAsia"/>
          <w:kern w:val="2"/>
        </w:rPr>
        <w:t xml:space="preserve"> 投标文件格式、附件</w:t>
      </w:r>
    </w:p>
    <w:p>
      <w:pPr>
        <w:rPr>
          <w:rStyle w:val="58"/>
          <w:sz w:val="24"/>
        </w:rPr>
      </w:pPr>
      <w:r>
        <w:rPr>
          <w:rStyle w:val="58"/>
          <w:rFonts w:hint="eastAsia"/>
          <w:sz w:val="24"/>
        </w:rPr>
        <w:t>特别提醒：</w:t>
      </w:r>
    </w:p>
    <w:p>
      <w:pPr>
        <w:ind w:firstLine="480" w:firstLineChars="200"/>
        <w:rPr>
          <w:rFonts w:ascii="仿宋_GB2312" w:eastAsia="仿宋_GB2312"/>
          <w:sz w:val="24"/>
        </w:rPr>
      </w:pPr>
      <w:r>
        <w:rPr>
          <w:rFonts w:hint="eastAsia" w:ascii="仿宋_GB2312" w:eastAsia="仿宋_GB2312"/>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hint="eastAsia" w:ascii="仿宋_GB2312" w:eastAsia="仿宋_GB2312"/>
          <w:sz w:val="24"/>
        </w:rPr>
        <w:t xml:space="preserve">    投标文件正文（信息公开部分）必须编制于“投标书目录”部分，投标文件附件（非信息公开部分）必须编制于“投标书附件”部分，如下图所示。</w:t>
      </w:r>
    </w:p>
    <w:p>
      <w:pPr>
        <w:widowControl/>
        <w:jc w:val="left"/>
        <w:rPr>
          <w:rFonts w:ascii="宋体" w:hAnsi="宋体" w:cs="宋体"/>
          <w:kern w:val="0"/>
          <w:sz w:val="24"/>
        </w:rPr>
      </w:pPr>
      <w:r>
        <w:rPr>
          <w:rFonts w:ascii="宋体" w:hAnsi="宋体" w:cs="宋体"/>
          <w:kern w:val="0"/>
          <w:sz w:val="24"/>
        </w:rPr>
        <w:drawing>
          <wp:inline distT="0" distB="0" distL="0" distR="0">
            <wp:extent cx="4553585" cy="4773295"/>
            <wp:effectExtent l="0" t="0" r="0" b="8255"/>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7" cstate="print"/>
                    <a:srcRect/>
                    <a:stretch>
                      <a:fillRect/>
                    </a:stretch>
                  </pic:blipFill>
                  <pic:spPr>
                    <a:xfrm>
                      <a:off x="0" y="0"/>
                      <a:ext cx="4562147" cy="4782327"/>
                    </a:xfrm>
                    <a:prstGeom prst="rect">
                      <a:avLst/>
                    </a:prstGeom>
                    <a:noFill/>
                    <a:ln w="9525">
                      <a:noFill/>
                      <a:miter lim="800000"/>
                      <a:headEnd/>
                      <a:tailEnd/>
                    </a:ln>
                  </pic:spPr>
                </pic:pic>
              </a:graphicData>
            </a:graphic>
          </wp:inline>
        </w:drawing>
      </w:r>
    </w:p>
    <w:p>
      <w:pPr>
        <w:ind w:firstLine="480" w:firstLineChars="200"/>
        <w:rPr>
          <w:rFonts w:ascii="仿宋_GB2312" w:eastAsia="仿宋_GB2312"/>
          <w:sz w:val="24"/>
        </w:rPr>
      </w:pPr>
      <w:r>
        <w:rPr>
          <w:rFonts w:hint="eastAsia" w:ascii="仿宋_GB2312" w:eastAsia="仿宋_GB2312"/>
          <w:sz w:val="24"/>
        </w:rPr>
        <w:t>我司公布投标文件正文（信息公开部分）时为计算机截取信息自动公布，如投标人误将涉及个人隐私的信息放入投标文件正文，相关后果由投标人自负；</w:t>
      </w:r>
      <w:r>
        <w:rPr>
          <w:rFonts w:hint="eastAsia" w:ascii="仿宋_GB2312" w:eastAsia="仿宋_GB2312"/>
          <w:sz w:val="24"/>
          <w:highlight w:val="yellow"/>
        </w:rPr>
        <w:t>如投标人将必须放于投标文件正文（信息公开部分）的内容放入投标文件附件（非信息公开部分），将作投标无效处理。</w:t>
      </w:r>
    </w:p>
    <w:p>
      <w:pPr>
        <w:ind w:firstLine="482" w:firstLineChars="200"/>
        <w:rPr>
          <w:rFonts w:ascii="宋体" w:hAnsi="宋体"/>
          <w:b/>
          <w:sz w:val="24"/>
        </w:rPr>
      </w:pPr>
    </w:p>
    <w:p>
      <w:pPr>
        <w:ind w:firstLine="420" w:firstLineChars="200"/>
        <w:rPr>
          <w:rFonts w:ascii="宋体" w:hAnsi="宋体"/>
          <w:szCs w:val="21"/>
        </w:rPr>
      </w:pPr>
      <w:r>
        <w:rPr>
          <w:rFonts w:hint="eastAsia" w:ascii="宋体" w:hAnsi="宋体"/>
          <w:szCs w:val="21"/>
        </w:rPr>
        <w:t>各投标供应商：</w:t>
      </w:r>
    </w:p>
    <w:p>
      <w:pPr>
        <w:ind w:firstLine="420" w:firstLineChars="200"/>
        <w:rPr>
          <w:rFonts w:ascii="宋体" w:hAnsi="宋体"/>
          <w:szCs w:val="21"/>
        </w:rPr>
      </w:pPr>
      <w:r>
        <w:rPr>
          <w:rFonts w:hint="eastAsia" w:ascii="宋体" w:hAnsi="宋体"/>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政府集中采购机构将依法依规对如下投标信息予以公示，望各投标供应商给予配合，履行好自身的权益和义务。</w:t>
      </w:r>
    </w:p>
    <w:p>
      <w:pPr>
        <w:ind w:firstLine="420" w:firstLineChars="200"/>
        <w:rPr>
          <w:rFonts w:ascii="宋体" w:hAnsi="宋体"/>
          <w:szCs w:val="21"/>
        </w:rPr>
      </w:pPr>
      <w:r>
        <w:rPr>
          <w:rFonts w:hint="eastAsia" w:ascii="宋体" w:hAnsi="宋体"/>
          <w:szCs w:val="21"/>
        </w:rPr>
        <w:t>1．公示的内容。营业执照、资质证书、项目业绩、履约验收报告及评价、社保证明、设备发票、职称、各种证件（身份证除外）、货物的规格型号及配置参数等。</w:t>
      </w:r>
    </w:p>
    <w:p>
      <w:pPr>
        <w:ind w:firstLine="420" w:firstLineChars="200"/>
        <w:rPr>
          <w:rFonts w:ascii="宋体" w:hAnsi="宋体"/>
          <w:szCs w:val="21"/>
        </w:rPr>
      </w:pPr>
      <w:r>
        <w:rPr>
          <w:rFonts w:hint="eastAsia" w:ascii="宋体" w:hAnsi="宋体"/>
          <w:szCs w:val="21"/>
        </w:rPr>
        <w:t>2．公示时间。从2014年9月10日起，所有新公告的政府采购项目的投标供应商的投标文件都进行公示。公示时间有两次，具体是：</w:t>
      </w:r>
    </w:p>
    <w:p>
      <w:pPr>
        <w:ind w:firstLine="420" w:firstLineChars="200"/>
        <w:rPr>
          <w:rFonts w:ascii="宋体" w:hAnsi="宋体"/>
          <w:szCs w:val="21"/>
        </w:rPr>
      </w:pPr>
      <w:r>
        <w:rPr>
          <w:rFonts w:hint="eastAsia" w:ascii="宋体" w:hAnsi="宋体"/>
          <w:szCs w:val="21"/>
        </w:rPr>
        <w:t>第一次公示时间：评标环节。当项目开标评审开始后，所有投标供应商的投标文件有关信息将随开标一览表向所有参与的投标供应商进行公开；</w:t>
      </w:r>
    </w:p>
    <w:p>
      <w:pPr>
        <w:ind w:firstLine="420" w:firstLineChars="200"/>
        <w:rPr>
          <w:rFonts w:ascii="宋体" w:hAnsi="宋体"/>
          <w:szCs w:val="21"/>
        </w:rPr>
      </w:pPr>
      <w:r>
        <w:rPr>
          <w:rFonts w:hint="eastAsia" w:ascii="宋体" w:hAnsi="宋体"/>
          <w:szCs w:val="21"/>
        </w:rPr>
        <w:t>第二次公示时间：中标结果公布环节。当发布中标结果时，同时向社会公布参加该政府采购项目的投标供应商（包括中标和未中标供应商）的投标文件。</w:t>
      </w:r>
    </w:p>
    <w:p>
      <w:pPr>
        <w:ind w:firstLine="420" w:firstLineChars="200"/>
        <w:rPr>
          <w:rFonts w:ascii="宋体" w:hAnsi="宋体"/>
          <w:szCs w:val="21"/>
        </w:rPr>
      </w:pPr>
      <w:r>
        <w:rPr>
          <w:rFonts w:hint="eastAsia" w:ascii="宋体" w:hAnsi="宋体"/>
          <w:szCs w:val="21"/>
        </w:rPr>
        <w:t>3．履行职责并及时指出有造假的行为。各投标人有权对公示内容进行监督，在第一次信息公开后的90分钟内，向深圳公共资源交易中心（深圳交易集团有限公司政府采购业务分公司）反馈质疑和举报有造假行为的供应商，具体操作：</w:t>
      </w:r>
    </w:p>
    <w:p>
      <w:pPr>
        <w:ind w:firstLine="420" w:firstLineChars="200"/>
        <w:rPr>
          <w:rFonts w:ascii="宋体" w:hAnsi="宋体"/>
          <w:szCs w:val="21"/>
        </w:rPr>
      </w:pPr>
      <w:r>
        <w:rPr>
          <w:rFonts w:hint="eastAsia" w:ascii="宋体" w:hAnsi="宋体"/>
          <w:szCs w:val="21"/>
        </w:rPr>
        <w:t>点击“我要举报”按键，系统即显示所有投标人相关内容，选择有造假的供应商，在公示内容上点击。该内容下框会有“√”显示，当选择完后，确认提交至深圳公共资源交易中心（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本项目各投标供应商，应在开标后始终保持本项目联系人手机畅通。当开标时间超过90分钟后，深圳公共资源交易中心（深圳交易集团有限公司政府采购业务分公司）将视举报信息反馈情况会与您通话（所有通话内容将会录音），如有要求提交公示内容正本（原件）的，务必在通话后的120分钟内送达至深圳公共资源交易中心（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pPr>
        <w:ind w:firstLine="420" w:firstLineChars="200"/>
        <w:rPr>
          <w:rFonts w:ascii="宋体" w:hAnsi="宋体"/>
          <w:szCs w:val="21"/>
        </w:rPr>
      </w:pPr>
      <w:r>
        <w:rPr>
          <w:rFonts w:hint="eastAsia" w:ascii="宋体" w:hAnsi="宋体"/>
          <w:szCs w:val="21"/>
        </w:rPr>
        <w:t>第二次中标供应商信息公示的质疑，按现规定和做法执行。</w:t>
      </w:r>
    </w:p>
    <w:p>
      <w:pPr>
        <w:ind w:firstLine="420" w:firstLineChars="200"/>
        <w:rPr>
          <w:rFonts w:ascii="仿宋_GB2312" w:eastAsia="仿宋_GB2312"/>
          <w:sz w:val="24"/>
        </w:rPr>
      </w:pPr>
      <w:r>
        <w:rPr>
          <w:rFonts w:hint="eastAsia" w:ascii="宋体" w:hAnsi="宋体"/>
          <w:szCs w:val="21"/>
        </w:rPr>
        <w:t>望各供应商要珍惜本次投标机会，诚实、守信、依法、依规投标。</w:t>
      </w:r>
    </w:p>
    <w:p>
      <w:pPr>
        <w:widowControl/>
        <w:jc w:val="left"/>
        <w:rPr>
          <w:rStyle w:val="58"/>
          <w:sz w:val="28"/>
          <w:szCs w:val="28"/>
        </w:rPr>
      </w:pPr>
    </w:p>
    <w:p>
      <w:pPr>
        <w:widowControl/>
        <w:jc w:val="left"/>
        <w:rPr>
          <w:rStyle w:val="58"/>
          <w:rFonts w:ascii="仿宋_GB2312" w:eastAsia="仿宋_GB2312"/>
          <w:bCs w:val="0"/>
          <w:sz w:val="24"/>
        </w:rPr>
      </w:pPr>
      <w:r>
        <w:rPr>
          <w:rStyle w:val="58"/>
          <w:rFonts w:hint="eastAsia"/>
          <w:sz w:val="28"/>
          <w:szCs w:val="28"/>
        </w:rPr>
        <w:t>投标文件组成：</w:t>
      </w:r>
    </w:p>
    <w:p>
      <w:pPr>
        <w:ind w:firstLine="1200" w:firstLineChars="500"/>
        <w:rPr>
          <w:rFonts w:ascii="宋体" w:hAnsi="宋体"/>
          <w:sz w:val="24"/>
        </w:rPr>
      </w:pPr>
      <w:r>
        <w:rPr>
          <w:rFonts w:hint="eastAsia" w:ascii="宋体" w:hAnsi="宋体"/>
          <w:sz w:val="24"/>
        </w:rPr>
        <w:t>1.投标文件正文</w:t>
      </w:r>
      <w:r>
        <w:rPr>
          <w:rFonts w:hint="eastAsia" w:ascii="宋体" w:hAnsi="宋体"/>
          <w:b/>
          <w:color w:val="FF0000"/>
          <w:sz w:val="24"/>
        </w:rPr>
        <w:t>（信息公开部分）</w:t>
      </w:r>
      <w:r>
        <w:rPr>
          <w:rFonts w:hint="eastAsia" w:ascii="宋体" w:hAnsi="宋体"/>
          <w:sz w:val="24"/>
        </w:rPr>
        <w:t>，主要包括以下内容：</w:t>
      </w:r>
    </w:p>
    <w:p>
      <w:pPr>
        <w:ind w:left="718" w:leftChars="342" w:firstLine="1417" w:firstLineChars="675"/>
        <w:rPr>
          <w:szCs w:val="21"/>
        </w:rPr>
      </w:pPr>
      <w:r>
        <w:rPr>
          <w:rFonts w:hint="eastAsia"/>
          <w:szCs w:val="21"/>
        </w:rPr>
        <w:t>（1）投标函</w:t>
      </w:r>
    </w:p>
    <w:p>
      <w:pPr>
        <w:ind w:left="718" w:leftChars="342" w:firstLine="1417" w:firstLineChars="675"/>
        <w:rPr>
          <w:szCs w:val="21"/>
        </w:rPr>
      </w:pPr>
      <w:r>
        <w:rPr>
          <w:rFonts w:hint="eastAsia"/>
          <w:szCs w:val="21"/>
        </w:rPr>
        <w:t>（2）政府采购投标及履约承诺函</w:t>
      </w:r>
    </w:p>
    <w:p>
      <w:pPr>
        <w:ind w:left="718" w:leftChars="342" w:firstLine="1417" w:firstLineChars="675"/>
        <w:rPr>
          <w:szCs w:val="21"/>
        </w:rPr>
      </w:pPr>
      <w:r>
        <w:rPr>
          <w:rFonts w:hint="eastAsia"/>
          <w:szCs w:val="21"/>
        </w:rPr>
        <w:t>（3）分项报价清单</w:t>
      </w:r>
    </w:p>
    <w:p>
      <w:pPr>
        <w:ind w:left="2692" w:leftChars="1017" w:hanging="556" w:hangingChars="265"/>
        <w:rPr>
          <w:szCs w:val="21"/>
        </w:rPr>
      </w:pPr>
      <w:r>
        <w:rPr>
          <w:rFonts w:hint="eastAsia"/>
          <w:szCs w:val="21"/>
        </w:rPr>
        <w:t>（4）投标人情况介绍</w:t>
      </w:r>
    </w:p>
    <w:p>
      <w:pPr>
        <w:ind w:left="718" w:leftChars="342" w:firstLine="1417" w:firstLineChars="675"/>
        <w:rPr>
          <w:szCs w:val="21"/>
        </w:rPr>
      </w:pPr>
      <w:r>
        <w:rPr>
          <w:rFonts w:hint="eastAsia"/>
          <w:szCs w:val="21"/>
        </w:rPr>
        <w:t>（5）货物说明一览表</w:t>
      </w:r>
    </w:p>
    <w:p>
      <w:pPr>
        <w:ind w:left="718" w:leftChars="342" w:firstLine="1417" w:firstLineChars="675"/>
        <w:rPr>
          <w:szCs w:val="21"/>
        </w:rPr>
      </w:pPr>
      <w:r>
        <w:rPr>
          <w:rFonts w:hint="eastAsia"/>
          <w:szCs w:val="21"/>
        </w:rPr>
        <w:t>（6）技术规格偏离表</w:t>
      </w:r>
    </w:p>
    <w:p>
      <w:pPr>
        <w:ind w:left="718" w:leftChars="342" w:firstLine="1417" w:firstLineChars="675"/>
        <w:rPr>
          <w:szCs w:val="21"/>
        </w:rPr>
      </w:pPr>
      <w:r>
        <w:rPr>
          <w:rFonts w:hint="eastAsia"/>
          <w:szCs w:val="21"/>
        </w:rPr>
        <w:t>（7）商务需求偏离表</w:t>
      </w:r>
    </w:p>
    <w:p>
      <w:pPr>
        <w:ind w:left="718" w:leftChars="342" w:firstLine="1417" w:firstLineChars="675"/>
        <w:rPr>
          <w:szCs w:val="21"/>
        </w:rPr>
      </w:pPr>
      <w:r>
        <w:rPr>
          <w:rFonts w:hint="eastAsia"/>
          <w:szCs w:val="21"/>
        </w:rPr>
        <w:t>（8）投标人认为需要加以说明的其他内容</w:t>
      </w:r>
    </w:p>
    <w:p>
      <w:pPr>
        <w:ind w:left="718" w:leftChars="342" w:firstLine="1417" w:firstLineChars="675"/>
        <w:rPr>
          <w:szCs w:val="21"/>
        </w:rPr>
      </w:pPr>
    </w:p>
    <w:p>
      <w:pPr>
        <w:ind w:firstLine="1200" w:firstLineChars="500"/>
        <w:rPr>
          <w:rFonts w:ascii="宋体" w:hAnsi="宋体"/>
          <w:sz w:val="24"/>
        </w:rPr>
      </w:pPr>
      <w:r>
        <w:rPr>
          <w:rFonts w:hint="eastAsia" w:ascii="宋体" w:hAnsi="宋体"/>
          <w:sz w:val="24"/>
        </w:rPr>
        <w:t>2.投标文件附件</w:t>
      </w:r>
      <w:r>
        <w:rPr>
          <w:rFonts w:hint="eastAsia" w:ascii="宋体" w:hAnsi="宋体"/>
          <w:b/>
          <w:color w:val="FF0000"/>
          <w:sz w:val="24"/>
        </w:rPr>
        <w:t>（信息不公开部分）</w:t>
      </w:r>
      <w:r>
        <w:rPr>
          <w:rFonts w:hint="eastAsia" w:ascii="宋体" w:hAnsi="宋体"/>
          <w:sz w:val="24"/>
        </w:rPr>
        <w:t>：主要包括以下内容：</w:t>
      </w:r>
    </w:p>
    <w:p>
      <w:pPr>
        <w:ind w:firstLine="2100" w:firstLineChars="1000"/>
        <w:rPr>
          <w:szCs w:val="21"/>
        </w:rPr>
      </w:pPr>
      <w:r>
        <w:rPr>
          <w:rFonts w:hint="eastAsia"/>
          <w:szCs w:val="21"/>
        </w:rPr>
        <w:t>（1）法定代表人证明书</w:t>
      </w:r>
    </w:p>
    <w:p>
      <w:pPr>
        <w:ind w:left="718" w:leftChars="342" w:firstLine="1417" w:firstLineChars="675"/>
        <w:rPr>
          <w:szCs w:val="21"/>
        </w:rPr>
      </w:pPr>
      <w:r>
        <w:rPr>
          <w:rFonts w:hint="eastAsia"/>
          <w:szCs w:val="21"/>
        </w:rPr>
        <w:t>（2）投标文件签署授权委托书</w:t>
      </w:r>
    </w:p>
    <w:p>
      <w:pPr>
        <w:ind w:left="718" w:leftChars="342" w:firstLine="1417" w:firstLineChars="675"/>
        <w:rPr>
          <w:szCs w:val="21"/>
        </w:rPr>
      </w:pPr>
      <w:r>
        <w:rPr>
          <w:rFonts w:hint="eastAsia"/>
          <w:szCs w:val="21"/>
        </w:rPr>
        <w:t>（3）实质性条款响应情况表</w:t>
      </w:r>
    </w:p>
    <w:p>
      <w:pPr>
        <w:ind w:left="718" w:leftChars="342" w:firstLine="1417" w:firstLineChars="675"/>
        <w:rPr>
          <w:szCs w:val="21"/>
        </w:rPr>
      </w:pPr>
      <w:r>
        <w:rPr>
          <w:rFonts w:hint="eastAsia"/>
          <w:szCs w:val="21"/>
        </w:rPr>
        <w:t>（4）项目实施方案</w:t>
      </w:r>
    </w:p>
    <w:p>
      <w:pPr>
        <w:ind w:left="718" w:leftChars="342" w:firstLine="1417" w:firstLineChars="675"/>
        <w:rPr>
          <w:szCs w:val="21"/>
        </w:rPr>
      </w:pPr>
      <w:r>
        <w:rPr>
          <w:rFonts w:hint="eastAsia"/>
          <w:szCs w:val="21"/>
        </w:rPr>
        <w:t>（5）售后服务方案</w:t>
      </w:r>
    </w:p>
    <w:p>
      <w:pPr>
        <w:widowControl/>
        <w:jc w:val="left"/>
        <w:rPr>
          <w:szCs w:val="21"/>
        </w:rPr>
      </w:pPr>
      <w:r>
        <w:rPr>
          <w:szCs w:val="21"/>
        </w:rPr>
        <w:br w:type="page"/>
      </w:r>
    </w:p>
    <w:p>
      <w:pPr>
        <w:outlineLvl w:val="1"/>
        <w:rPr>
          <w:rFonts w:ascii="宋体" w:hAnsi="宋体"/>
          <w:b/>
          <w:color w:val="FF0000"/>
          <w:sz w:val="28"/>
          <w:szCs w:val="28"/>
        </w:rPr>
      </w:pPr>
      <w:r>
        <w:rPr>
          <w:rFonts w:hint="eastAsia" w:ascii="宋体" w:hAnsi="宋体"/>
          <w:b/>
          <w:color w:val="FF0000"/>
          <w:sz w:val="28"/>
          <w:szCs w:val="28"/>
        </w:rPr>
        <w:t>投标文件正文（信息公开部分）</w:t>
      </w:r>
    </w:p>
    <w:p>
      <w:pPr>
        <w:pStyle w:val="3"/>
        <w:jc w:val="center"/>
        <w:rPr>
          <w:rFonts w:ascii="黑体" w:eastAsia="黑体"/>
          <w:b w:val="0"/>
          <w:sz w:val="24"/>
        </w:rPr>
      </w:pPr>
      <w:r>
        <w:rPr>
          <w:rFonts w:hint="eastAsia" w:ascii="黑体" w:eastAsia="黑体"/>
          <w:b w:val="0"/>
          <w:sz w:val="24"/>
        </w:rPr>
        <w:t>一、投标函</w:t>
      </w:r>
    </w:p>
    <w:p>
      <w:pPr>
        <w:spacing w:line="360" w:lineRule="auto"/>
        <w:rPr>
          <w:rFonts w:ascii="宋体" w:hAnsi="宋体"/>
          <w:color w:val="FF0000"/>
          <w:szCs w:val="21"/>
        </w:rPr>
      </w:pPr>
      <w:r>
        <w:rPr>
          <w:rFonts w:hint="eastAsia" w:ascii="宋体" w:hAnsi="宋体"/>
          <w:color w:val="FF0000"/>
          <w:szCs w:val="21"/>
        </w:rPr>
        <w:t>致：</w:t>
      </w:r>
      <w:r>
        <w:rPr>
          <w:rFonts w:hint="eastAsia" w:ascii="宋体" w:hAnsi="宋体"/>
          <w:color w:val="FF0000"/>
          <w:szCs w:val="21"/>
          <w:u w:val="single"/>
        </w:rPr>
        <w:t xml:space="preserve">  深圳公共资源交易中心  </w:t>
      </w:r>
    </w:p>
    <w:p>
      <w:pPr>
        <w:spacing w:after="120" w:afterLines="50"/>
        <w:ind w:firstLine="420" w:firstLineChars="200"/>
        <w:rPr>
          <w:szCs w:val="21"/>
        </w:rPr>
      </w:pPr>
      <w:r>
        <w:rPr>
          <w:rFonts w:hint="eastAsia"/>
          <w:szCs w:val="21"/>
        </w:rPr>
        <w:t>1、根据已收到贵方的招标编号</w:t>
      </w:r>
      <w:r>
        <w:rPr>
          <w:rFonts w:hint="eastAsia"/>
          <w:color w:val="FF0000"/>
          <w:szCs w:val="21"/>
        </w:rPr>
        <w:t>为</w:t>
      </w:r>
      <w:r>
        <w:rPr>
          <w:rFonts w:hint="eastAsia"/>
          <w:color w:val="FF0000"/>
          <w:szCs w:val="21"/>
          <w:u w:val="single"/>
        </w:rPr>
        <w:t xml:space="preserve">        </w:t>
      </w:r>
      <w:r>
        <w:rPr>
          <w:rFonts w:hint="eastAsia"/>
          <w:color w:val="FF0000"/>
          <w:szCs w:val="21"/>
        </w:rPr>
        <w:t>的</w:t>
      </w:r>
      <w:r>
        <w:rPr>
          <w:rFonts w:hint="eastAsia"/>
          <w:color w:val="FF0000"/>
          <w:szCs w:val="21"/>
          <w:u w:val="single"/>
        </w:rPr>
        <w:t xml:space="preserve">               </w:t>
      </w:r>
      <w:r>
        <w:rPr>
          <w:rFonts w:hint="eastAsia"/>
          <w:color w:val="FF0000"/>
          <w:szCs w:val="21"/>
        </w:rPr>
        <w:t>项目</w:t>
      </w:r>
      <w:r>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pPr>
        <w:spacing w:after="120"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20" w:afterLines="50"/>
        <w:ind w:firstLine="411" w:firstLineChars="196"/>
        <w:rPr>
          <w:rFonts w:ascii="宋体" w:hAnsi="宋体"/>
          <w:szCs w:val="21"/>
        </w:rPr>
      </w:pPr>
      <w:r>
        <w:rPr>
          <w:rFonts w:hint="eastAsia" w:ascii="宋体" w:hAnsi="宋体"/>
          <w:szCs w:val="21"/>
        </w:rPr>
        <w:t>3、我方同意所递交的投标文件在“对通用条款的补充内容”中的投标有效期内有效，在此期间内我方的投标有可能中标，我方将受此约束。</w:t>
      </w:r>
    </w:p>
    <w:p>
      <w:pPr>
        <w:spacing w:after="120" w:afterLines="50"/>
        <w:ind w:firstLine="411" w:firstLineChars="196"/>
        <w:rPr>
          <w:rFonts w:ascii="宋体" w:hAnsi="宋体"/>
          <w:szCs w:val="21"/>
        </w:rPr>
      </w:pPr>
      <w:r>
        <w:rPr>
          <w:rFonts w:hint="eastAsia" w:ascii="宋体" w:hAnsi="宋体"/>
          <w:szCs w:val="21"/>
        </w:rPr>
        <w:t>4、除非另外达成协议并生效，贵方的中标通知书和本投标文件将构成约束我们双方的合同。</w:t>
      </w:r>
    </w:p>
    <w:p>
      <w:pPr>
        <w:spacing w:after="120" w:afterLines="50"/>
        <w:ind w:firstLine="411" w:firstLineChars="196"/>
        <w:rPr>
          <w:rFonts w:ascii="宋体" w:hAnsi="宋体"/>
          <w:szCs w:val="21"/>
        </w:rPr>
      </w:pPr>
      <w:r>
        <w:rPr>
          <w:rFonts w:hint="eastAsia" w:ascii="宋体" w:hAnsi="宋体"/>
          <w:szCs w:val="21"/>
        </w:rPr>
        <w:t>5、我方理解贵方将不受必须接受你们所收到的最低标价或其它任何投标文件的约束。</w:t>
      </w:r>
    </w:p>
    <w:p>
      <w:pPr>
        <w:ind w:left="540" w:leftChars="257"/>
        <w:rPr>
          <w:szCs w:val="21"/>
          <w:u w:val="single"/>
        </w:rPr>
      </w:pPr>
      <w:r>
        <w:rPr>
          <w:rFonts w:hint="eastAsia"/>
          <w:color w:val="FF0000"/>
          <w:szCs w:val="21"/>
        </w:rPr>
        <w:t>投标人：</w:t>
      </w:r>
      <w:r>
        <w:rPr>
          <w:rFonts w:hint="eastAsia"/>
          <w:color w:val="FF0000"/>
          <w:szCs w:val="21"/>
          <w:u w:val="single"/>
        </w:rPr>
        <w:t xml:space="preserve">                   </w:t>
      </w:r>
      <w:r>
        <w:rPr>
          <w:rFonts w:hint="eastAsia"/>
          <w:color w:val="FF0000"/>
          <w:szCs w:val="21"/>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color w:val="FF0000"/>
          <w:szCs w:val="21"/>
        </w:rPr>
        <w:t>法定代表人或其委托代理人：</w:t>
      </w:r>
      <w:r>
        <w:rPr>
          <w:rFonts w:hint="eastAsia"/>
          <w:color w:val="FF0000"/>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color w:val="FF0000"/>
          <w:szCs w:val="21"/>
        </w:rPr>
        <w:t>日期：</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r>
        <w:rPr>
          <w:rFonts w:hint="eastAsia"/>
          <w:color w:val="FF0000"/>
          <w:sz w:val="24"/>
        </w:rPr>
        <w:t xml:space="preserve"> </w:t>
      </w:r>
      <w:r>
        <w:rPr>
          <w:rFonts w:hint="eastAsia"/>
          <w:sz w:val="24"/>
        </w:rPr>
        <w:t xml:space="preserve">    </w:t>
      </w:r>
    </w:p>
    <w:p>
      <w:pPr>
        <w:widowControl/>
        <w:jc w:val="left"/>
        <w:rPr>
          <w:sz w:val="24"/>
        </w:rPr>
      </w:pPr>
      <w:r>
        <w:rPr>
          <w:sz w:val="24"/>
        </w:rPr>
        <w:br w:type="page"/>
      </w:r>
    </w:p>
    <w:p>
      <w:pPr>
        <w:pStyle w:val="3"/>
        <w:jc w:val="center"/>
        <w:rPr>
          <w:rFonts w:ascii="黑体" w:eastAsia="黑体"/>
          <w:b w:val="0"/>
          <w:sz w:val="24"/>
        </w:rPr>
      </w:pPr>
      <w:r>
        <w:rPr>
          <w:rFonts w:hint="eastAsia" w:ascii="黑体" w:eastAsia="黑体"/>
          <w:b w:val="0"/>
          <w:sz w:val="24"/>
        </w:rPr>
        <w:t>二、</w:t>
      </w:r>
      <w:r>
        <w:rPr>
          <w:rFonts w:hint="eastAsia"/>
          <w:szCs w:val="21"/>
        </w:rPr>
        <w:t>政府采购投标及履约承诺函</w:t>
      </w:r>
    </w:p>
    <w:p>
      <w:pPr>
        <w:rPr>
          <w:rFonts w:ascii="宋体" w:hAnsi="宋体"/>
          <w:color w:val="FF0000"/>
          <w:szCs w:val="21"/>
        </w:rPr>
      </w:pPr>
      <w:r>
        <w:rPr>
          <w:rFonts w:hint="eastAsia" w:ascii="宋体" w:hAnsi="宋体"/>
          <w:color w:val="FF0000"/>
          <w:szCs w:val="21"/>
        </w:rPr>
        <w:t>致：深圳公共资源交易中心</w:t>
      </w:r>
    </w:p>
    <w:p>
      <w:pPr>
        <w:ind w:right="-815" w:firstLine="420" w:firstLineChars="200"/>
        <w:rPr>
          <w:rFonts w:ascii="宋体" w:hAnsi="宋体"/>
          <w:szCs w:val="21"/>
        </w:rPr>
      </w:pPr>
      <w:r>
        <w:rPr>
          <w:rFonts w:hint="eastAsia" w:ascii="宋体" w:hAnsi="宋体"/>
          <w:szCs w:val="21"/>
        </w:rPr>
        <w:t>我公司承诺：</w:t>
      </w:r>
    </w:p>
    <w:p>
      <w:pPr>
        <w:ind w:firstLine="420" w:firstLineChars="200"/>
        <w:rPr>
          <w:rFonts w:ascii="宋体" w:hAnsi="宋体"/>
          <w:szCs w:val="21"/>
        </w:rPr>
      </w:pPr>
      <w:r>
        <w:rPr>
          <w:rFonts w:hint="eastAsia" w:ascii="宋体" w:hAnsi="宋体"/>
          <w:szCs w:val="21"/>
        </w:rPr>
        <w:t>1.我公司本招标项目所提供的货物或服务未侵犯知识产权。</w:t>
      </w:r>
    </w:p>
    <w:p>
      <w:pPr>
        <w:ind w:firstLine="420" w:firstLineChars="200"/>
        <w:rPr>
          <w:rFonts w:ascii="宋体" w:hAnsi="宋体"/>
          <w:szCs w:val="21"/>
        </w:rPr>
      </w:pPr>
      <w:r>
        <w:rPr>
          <w:rFonts w:hint="eastAsia" w:ascii="宋体" w:hAnsi="宋体"/>
          <w:szCs w:val="21"/>
        </w:rPr>
        <w:t>2.我公司参与本项目投标前三年内，在经营活动中没有重大违法记录。</w:t>
      </w:r>
    </w:p>
    <w:p>
      <w:pPr>
        <w:ind w:firstLine="420" w:firstLineChars="200"/>
        <w:rPr>
          <w:rFonts w:ascii="宋体" w:hAnsi="宋体"/>
          <w:szCs w:val="21"/>
        </w:rPr>
      </w:pPr>
      <w:r>
        <w:rPr>
          <w:rFonts w:hint="eastAsia" w:ascii="宋体" w:hAnsi="宋体"/>
          <w:szCs w:val="21"/>
        </w:rPr>
        <w:t>3.我公司参与本项目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4.我公司具备《中华人民共和国政府采购法》第二十二条第一款规定的六项条件。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5.我公司</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ind w:firstLine="420" w:firstLineChars="200"/>
        <w:rPr>
          <w:rFonts w:ascii="宋体" w:hAnsi="宋体"/>
          <w:szCs w:val="21"/>
        </w:rPr>
      </w:pPr>
      <w:r>
        <w:rPr>
          <w:rFonts w:hint="eastAsia" w:ascii="宋体" w:hAnsi="宋体"/>
          <w:szCs w:val="21"/>
        </w:rPr>
        <w:t>7.我公司如果中标，做到守信，不偷工减料，依照本项目招标文件需求内容、签署的采购合同及本公司在投标中所作的一切承诺履约。项目验收达到全部指标合格，力争优良。</w:t>
      </w:r>
    </w:p>
    <w:p>
      <w:pPr>
        <w:ind w:firstLine="420" w:firstLineChars="200"/>
        <w:rPr>
          <w:rFonts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ascii="宋体" w:hAnsi="宋体"/>
          <w:szCs w:val="21"/>
        </w:rPr>
      </w:pPr>
      <w:r>
        <w:rPr>
          <w:rFonts w:hint="eastAsia" w:ascii="宋体" w:hAnsi="宋体"/>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ind w:firstLine="420" w:firstLineChars="200"/>
        <w:rPr>
          <w:rFonts w:ascii="宋体" w:hAnsi="宋体"/>
          <w:szCs w:val="21"/>
        </w:rPr>
      </w:pPr>
      <w:r>
        <w:rPr>
          <w:rFonts w:hint="eastAsia" w:ascii="宋体" w:hAnsi="宋体"/>
          <w:szCs w:val="21"/>
        </w:rPr>
        <w:t>10.我公司承诺不非法转包、分包。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spacing w:before="60" w:beforeLines="25" w:after="60" w:afterLines="25"/>
        <w:ind w:firstLine="5460" w:firstLineChars="2600"/>
        <w:rPr>
          <w:rFonts w:ascii="宋体" w:hAnsi="宋体"/>
          <w:szCs w:val="21"/>
        </w:rPr>
      </w:pPr>
      <w:r>
        <w:rPr>
          <w:rFonts w:hint="eastAsia" w:ascii="宋体" w:hAnsi="宋体"/>
          <w:szCs w:val="21"/>
        </w:rPr>
        <w:t xml:space="preserve">                                    </w:t>
      </w:r>
    </w:p>
    <w:p>
      <w:pPr>
        <w:spacing w:before="60" w:beforeLines="25" w:after="60" w:afterLines="25"/>
        <w:ind w:firstLine="5460" w:firstLineChars="2600"/>
        <w:rPr>
          <w:color w:val="FF0000"/>
        </w:rPr>
      </w:pPr>
      <w:bookmarkStart w:id="28" w:name="_Hlk74240566"/>
      <w:r>
        <w:rPr>
          <w:rFonts w:hint="eastAsia"/>
          <w:color w:val="FF0000"/>
          <w:szCs w:val="21"/>
        </w:rPr>
        <w:t>投标人：</w:t>
      </w:r>
      <w:r>
        <w:rPr>
          <w:rFonts w:hint="eastAsia"/>
          <w:color w:val="FF0000"/>
          <w:szCs w:val="21"/>
          <w:u w:val="single"/>
        </w:rPr>
        <w:t xml:space="preserve">              </w:t>
      </w:r>
    </w:p>
    <w:p>
      <w:pPr>
        <w:ind w:firstLine="645"/>
        <w:rPr>
          <w:rFonts w:ascii="宋体" w:hAnsi="宋体"/>
          <w:color w:val="FF0000"/>
          <w:szCs w:val="21"/>
        </w:rPr>
      </w:pPr>
      <w:r>
        <w:rPr>
          <w:rFonts w:hint="eastAsia" w:ascii="宋体" w:hAnsi="宋体"/>
          <w:color w:val="FF0000"/>
          <w:szCs w:val="21"/>
        </w:rPr>
        <w:t xml:space="preserve">                                              日期：</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bookmarkEnd w:id="28"/>
    </w:p>
    <w:p>
      <w:pPr>
        <w:ind w:firstLine="645"/>
        <w:rPr>
          <w:rFonts w:ascii="宋体" w:hAnsi="宋体"/>
          <w:szCs w:val="21"/>
        </w:rPr>
      </w:pPr>
    </w:p>
    <w:p>
      <w:pPr>
        <w:ind w:firstLine="645"/>
        <w:rPr>
          <w:rFonts w:ascii="宋体" w:hAnsi="宋体"/>
          <w:szCs w:val="21"/>
        </w:rPr>
      </w:pPr>
    </w:p>
    <w:p>
      <w:pPr>
        <w:ind w:firstLine="645"/>
        <w:rPr>
          <w:rFonts w:ascii="宋体" w:hAnsi="宋体"/>
          <w:szCs w:val="21"/>
        </w:rPr>
      </w:pPr>
    </w:p>
    <w:p>
      <w:pPr>
        <w:widowControl/>
        <w:jc w:val="left"/>
        <w:rPr>
          <w:rFonts w:ascii="宋体"/>
          <w:b/>
          <w:szCs w:val="21"/>
        </w:rPr>
      </w:pPr>
      <w:r>
        <w:rPr>
          <w:rFonts w:ascii="宋体"/>
          <w:b/>
          <w:szCs w:val="21"/>
        </w:rPr>
        <w:br w:type="page"/>
      </w:r>
    </w:p>
    <w:p>
      <w:pPr>
        <w:pStyle w:val="3"/>
        <w:jc w:val="center"/>
        <w:rPr>
          <w:rFonts w:ascii="黑体" w:eastAsia="黑体"/>
          <w:b w:val="0"/>
          <w:sz w:val="24"/>
          <w:szCs w:val="24"/>
        </w:rPr>
      </w:pPr>
      <w:r>
        <w:rPr>
          <w:rFonts w:hint="eastAsia" w:ascii="黑体" w:eastAsia="黑体"/>
          <w:b w:val="0"/>
          <w:sz w:val="24"/>
          <w:szCs w:val="24"/>
        </w:rPr>
        <w:t>三、分项报价清单</w:t>
      </w:r>
    </w:p>
    <w:p>
      <w:pPr>
        <w:numPr>
          <w:ilvl w:val="0"/>
          <w:numId w:val="10"/>
        </w:numPr>
        <w:jc w:val="center"/>
        <w:rPr>
          <w:b/>
          <w:sz w:val="24"/>
        </w:rPr>
      </w:pPr>
      <w:r>
        <w:rPr>
          <w:rFonts w:hint="eastAsia"/>
          <w:b/>
          <w:sz w:val="24"/>
        </w:rPr>
        <w:t>项目报价表</w:t>
      </w:r>
    </w:p>
    <w:p/>
    <w:tbl>
      <w:tblPr>
        <w:tblStyle w:val="43"/>
        <w:tblW w:w="978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93"/>
        <w:gridCol w:w="1134"/>
        <w:gridCol w:w="708"/>
        <w:gridCol w:w="709"/>
        <w:gridCol w:w="1418"/>
        <w:gridCol w:w="992"/>
        <w:gridCol w:w="567"/>
        <w:gridCol w:w="709"/>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szCs w:val="21"/>
              </w:rPr>
            </w:pPr>
            <w:r>
              <w:rPr>
                <w:rFonts w:hint="eastAsia"/>
                <w:szCs w:val="21"/>
              </w:rPr>
              <w:t>序号</w:t>
            </w:r>
          </w:p>
        </w:tc>
        <w:tc>
          <w:tcPr>
            <w:tcW w:w="993" w:type="dxa"/>
            <w:vAlign w:val="center"/>
          </w:tcPr>
          <w:p>
            <w:pPr>
              <w:jc w:val="center"/>
              <w:rPr>
                <w:szCs w:val="21"/>
              </w:rPr>
            </w:pPr>
            <w:r>
              <w:rPr>
                <w:rFonts w:hint="eastAsia"/>
                <w:szCs w:val="21"/>
              </w:rPr>
              <w:t>采购计划编号</w:t>
            </w:r>
          </w:p>
        </w:tc>
        <w:tc>
          <w:tcPr>
            <w:tcW w:w="1134" w:type="dxa"/>
            <w:vAlign w:val="center"/>
          </w:tcPr>
          <w:p>
            <w:pPr>
              <w:jc w:val="center"/>
              <w:rPr>
                <w:szCs w:val="21"/>
              </w:rPr>
            </w:pPr>
            <w:r>
              <w:rPr>
                <w:rFonts w:hint="eastAsia"/>
                <w:szCs w:val="21"/>
              </w:rPr>
              <w:t>货物名称</w:t>
            </w:r>
          </w:p>
        </w:tc>
        <w:tc>
          <w:tcPr>
            <w:tcW w:w="708" w:type="dxa"/>
            <w:vAlign w:val="center"/>
          </w:tcPr>
          <w:p>
            <w:pPr>
              <w:jc w:val="center"/>
              <w:rPr>
                <w:szCs w:val="21"/>
              </w:rPr>
            </w:pPr>
            <w:r>
              <w:rPr>
                <w:rFonts w:hint="eastAsia"/>
                <w:szCs w:val="21"/>
              </w:rPr>
              <w:t>规格/型号</w:t>
            </w:r>
          </w:p>
        </w:tc>
        <w:tc>
          <w:tcPr>
            <w:tcW w:w="709" w:type="dxa"/>
            <w:vAlign w:val="center"/>
          </w:tcPr>
          <w:p>
            <w:pPr>
              <w:jc w:val="center"/>
              <w:rPr>
                <w:b/>
                <w:color w:val="FF0000"/>
                <w:szCs w:val="21"/>
              </w:rPr>
            </w:pPr>
            <w:r>
              <w:rPr>
                <w:rFonts w:hint="eastAsia"/>
                <w:b/>
                <w:color w:val="FF0000"/>
                <w:szCs w:val="21"/>
              </w:rPr>
              <w:t>原产地</w:t>
            </w:r>
          </w:p>
        </w:tc>
        <w:tc>
          <w:tcPr>
            <w:tcW w:w="1418" w:type="dxa"/>
            <w:vAlign w:val="center"/>
          </w:tcPr>
          <w:p>
            <w:pPr>
              <w:jc w:val="center"/>
              <w:rPr>
                <w:szCs w:val="21"/>
              </w:rPr>
            </w:pPr>
            <w:r>
              <w:rPr>
                <w:rFonts w:hint="eastAsia"/>
                <w:szCs w:val="21"/>
              </w:rPr>
              <w:t>制造商名称</w:t>
            </w:r>
          </w:p>
        </w:tc>
        <w:tc>
          <w:tcPr>
            <w:tcW w:w="992" w:type="dxa"/>
            <w:vAlign w:val="center"/>
          </w:tcPr>
          <w:p>
            <w:pPr>
              <w:jc w:val="center"/>
              <w:rPr>
                <w:szCs w:val="21"/>
              </w:rPr>
            </w:pPr>
            <w:r>
              <w:rPr>
                <w:rFonts w:hint="eastAsia"/>
                <w:szCs w:val="21"/>
              </w:rPr>
              <w:t>数量</w:t>
            </w:r>
          </w:p>
        </w:tc>
        <w:tc>
          <w:tcPr>
            <w:tcW w:w="567" w:type="dxa"/>
            <w:vAlign w:val="center"/>
          </w:tcPr>
          <w:p>
            <w:pPr>
              <w:jc w:val="center"/>
              <w:rPr>
                <w:szCs w:val="21"/>
              </w:rPr>
            </w:pPr>
            <w:r>
              <w:rPr>
                <w:rFonts w:hint="eastAsia"/>
                <w:szCs w:val="21"/>
              </w:rPr>
              <w:t>单位</w:t>
            </w:r>
          </w:p>
        </w:tc>
        <w:tc>
          <w:tcPr>
            <w:tcW w:w="709" w:type="dxa"/>
            <w:vAlign w:val="center"/>
          </w:tcPr>
          <w:p>
            <w:pPr>
              <w:jc w:val="center"/>
              <w:rPr>
                <w:szCs w:val="21"/>
              </w:rPr>
            </w:pPr>
            <w:r>
              <w:rPr>
                <w:rFonts w:hint="eastAsia"/>
                <w:szCs w:val="21"/>
              </w:rPr>
              <w:t>单价(元)</w:t>
            </w:r>
          </w:p>
        </w:tc>
        <w:tc>
          <w:tcPr>
            <w:tcW w:w="850" w:type="dxa"/>
            <w:vAlign w:val="center"/>
          </w:tcPr>
          <w:p>
            <w:pPr>
              <w:jc w:val="center"/>
              <w:rPr>
                <w:szCs w:val="21"/>
              </w:rPr>
            </w:pPr>
            <w:r>
              <w:rPr>
                <w:rFonts w:hint="eastAsia"/>
                <w:szCs w:val="21"/>
              </w:rPr>
              <w:t>合价(元)</w:t>
            </w:r>
          </w:p>
        </w:tc>
        <w:tc>
          <w:tcPr>
            <w:tcW w:w="1276" w:type="dxa"/>
            <w:vAlign w:val="center"/>
          </w:tcPr>
          <w:p>
            <w:pPr>
              <w:jc w:val="center"/>
              <w:rPr>
                <w:b/>
                <w:szCs w:val="21"/>
              </w:rPr>
            </w:pPr>
            <w:r>
              <w:rPr>
                <w:rFonts w:hint="eastAsia"/>
                <w:b/>
                <w:color w:val="FF0000"/>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jc w:val="center"/>
              <w:rPr>
                <w:szCs w:val="21"/>
              </w:rPr>
            </w:pPr>
            <w:r>
              <w:rPr>
                <w:bCs/>
                <w:szCs w:val="21"/>
              </w:rPr>
              <w:t>1</w:t>
            </w:r>
          </w:p>
        </w:tc>
        <w:tc>
          <w:tcPr>
            <w:tcW w:w="993" w:type="dxa"/>
          </w:tcPr>
          <w:p>
            <w:pPr>
              <w:jc w:val="center"/>
              <w:rPr>
                <w:szCs w:val="21"/>
              </w:rPr>
            </w:pPr>
            <w:r>
              <w:rPr>
                <w:bCs/>
                <w:szCs w:val="21"/>
              </w:rPr>
              <w:t>PLAN-2021-440301-0102018005-01014</w:t>
            </w:r>
          </w:p>
        </w:tc>
        <w:tc>
          <w:tcPr>
            <w:tcW w:w="1134" w:type="dxa"/>
          </w:tcPr>
          <w:p>
            <w:pPr>
              <w:jc w:val="center"/>
              <w:rPr>
                <w:szCs w:val="21"/>
              </w:rPr>
            </w:pPr>
            <w:r>
              <w:rPr>
                <w:rFonts w:hint="eastAsia"/>
                <w:szCs w:val="21"/>
              </w:rPr>
              <w:t>60岁及以上老年人流感疫苗</w:t>
            </w:r>
          </w:p>
        </w:tc>
        <w:tc>
          <w:tcPr>
            <w:tcW w:w="708" w:type="dxa"/>
          </w:tcPr>
          <w:p>
            <w:pPr>
              <w:jc w:val="center"/>
              <w:rPr>
                <w:szCs w:val="21"/>
              </w:rPr>
            </w:pPr>
          </w:p>
        </w:tc>
        <w:tc>
          <w:tcPr>
            <w:tcW w:w="709" w:type="dxa"/>
          </w:tcPr>
          <w:p>
            <w:pPr>
              <w:jc w:val="center"/>
              <w:rPr>
                <w:szCs w:val="21"/>
              </w:rPr>
            </w:pPr>
          </w:p>
        </w:tc>
        <w:tc>
          <w:tcPr>
            <w:tcW w:w="1418" w:type="dxa"/>
          </w:tcPr>
          <w:p>
            <w:pPr>
              <w:jc w:val="center"/>
              <w:rPr>
                <w:szCs w:val="21"/>
              </w:rPr>
            </w:pPr>
          </w:p>
        </w:tc>
        <w:tc>
          <w:tcPr>
            <w:tcW w:w="992" w:type="dxa"/>
          </w:tcPr>
          <w:p>
            <w:pPr>
              <w:jc w:val="center"/>
              <w:rPr>
                <w:szCs w:val="21"/>
              </w:rPr>
            </w:pPr>
            <w:r>
              <w:rPr>
                <w:szCs w:val="21"/>
              </w:rPr>
              <w:t>100000</w:t>
            </w:r>
          </w:p>
        </w:tc>
        <w:tc>
          <w:tcPr>
            <w:tcW w:w="567" w:type="dxa"/>
          </w:tcPr>
          <w:p>
            <w:pPr>
              <w:jc w:val="center"/>
              <w:rPr>
                <w:szCs w:val="21"/>
              </w:rPr>
            </w:pPr>
            <w:r>
              <w:rPr>
                <w:szCs w:val="21"/>
              </w:rPr>
              <w:t>支</w:t>
            </w:r>
          </w:p>
        </w:tc>
        <w:tc>
          <w:tcPr>
            <w:tcW w:w="709" w:type="dxa"/>
          </w:tcPr>
          <w:p>
            <w:pPr>
              <w:jc w:val="center"/>
              <w:rPr>
                <w:szCs w:val="21"/>
              </w:rPr>
            </w:pPr>
          </w:p>
        </w:tc>
        <w:tc>
          <w:tcPr>
            <w:tcW w:w="850" w:type="dxa"/>
          </w:tcPr>
          <w:p>
            <w:pPr>
              <w:jc w:val="center"/>
              <w:rPr>
                <w:szCs w:val="21"/>
              </w:rPr>
            </w:pPr>
          </w:p>
        </w:tc>
        <w:tc>
          <w:tcPr>
            <w:tcW w:w="1276" w:type="dxa"/>
          </w:tcPr>
          <w:p>
            <w:pPr>
              <w:jc w:val="center"/>
              <w:rPr>
                <w:szCs w:val="21"/>
              </w:rPr>
            </w:pPr>
            <w:r>
              <w:rPr>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11"/>
          </w:tcPr>
          <w:p>
            <w:pPr>
              <w:rPr>
                <w:szCs w:val="21"/>
              </w:rPr>
            </w:pPr>
            <w:r>
              <w:rPr>
                <w:rFonts w:hint="eastAsia"/>
                <w:szCs w:val="21"/>
              </w:rPr>
              <w:t xml:space="preserve">合计（即：投标总价；币种：人民币；单位：元）：          </w:t>
            </w:r>
            <w:r>
              <w:rPr>
                <w:rFonts w:hint="eastAsia"/>
                <w:color w:val="FF0000"/>
                <w:szCs w:val="21"/>
              </w:rPr>
              <w:t>大写：</w:t>
            </w:r>
          </w:p>
        </w:tc>
      </w:tr>
    </w:tbl>
    <w:p>
      <w:pPr>
        <w:rPr>
          <w:rFonts w:ascii="宋体" w:hAnsi="宋体"/>
          <w:b/>
          <w:color w:val="FF0000"/>
          <w:sz w:val="24"/>
        </w:rPr>
      </w:pPr>
      <w:r>
        <w:rPr>
          <w:rFonts w:hint="eastAsia" w:ascii="宋体" w:hAnsi="宋体"/>
          <w:b/>
          <w:color w:val="FF0000"/>
          <w:sz w:val="24"/>
        </w:rPr>
        <w:t>注：1. 请根据“第二章 招标项目需求” “二、货物清单”填写；本表格式不得修改。</w:t>
      </w:r>
    </w:p>
    <w:p>
      <w:pPr>
        <w:rPr>
          <w:rFonts w:ascii="宋体" w:hAnsi="宋体"/>
          <w:b/>
          <w:color w:val="FF0000"/>
          <w:sz w:val="24"/>
        </w:rPr>
      </w:pPr>
      <w:r>
        <w:rPr>
          <w:rFonts w:ascii="宋体" w:hAnsi="宋体"/>
          <w:b/>
          <w:color w:val="FF0000"/>
          <w:sz w:val="24"/>
        </w:rPr>
        <w:t xml:space="preserve">    2</w:t>
      </w:r>
      <w:r>
        <w:rPr>
          <w:rFonts w:hint="eastAsia" w:ascii="宋体" w:hAnsi="宋体"/>
          <w:b/>
          <w:color w:val="FF0000"/>
          <w:sz w:val="24"/>
        </w:rPr>
        <w:t>. 所有价格应按“招标文件”中规定的货币单位填写；投标总价应为以上各分项价格之和；投标总价和项目报价表中单个采购预算条目报价均不得超过对应的财政预算限额，否则将导致无效投标。</w:t>
      </w:r>
    </w:p>
    <w:p>
      <w:pPr>
        <w:ind w:firstLine="482" w:firstLineChars="200"/>
        <w:rPr>
          <w:rFonts w:ascii="宋体" w:hAnsi="宋体"/>
          <w:b/>
          <w:color w:val="FF0000"/>
          <w:sz w:val="24"/>
        </w:rPr>
      </w:pPr>
      <w:r>
        <w:rPr>
          <w:rFonts w:hint="eastAsia" w:ascii="宋体" w:hAnsi="宋体"/>
          <w:b/>
          <w:color w:val="FF0000"/>
          <w:sz w:val="24"/>
        </w:rPr>
        <w:t>3.</w:t>
      </w:r>
      <w:r>
        <w:rPr>
          <w:rFonts w:ascii="宋体" w:hAnsi="宋体"/>
          <w:b/>
          <w:color w:val="FF0000"/>
          <w:sz w:val="24"/>
        </w:rPr>
        <w:t xml:space="preserve"> </w:t>
      </w:r>
      <w:r>
        <w:rPr>
          <w:rFonts w:hint="eastAsia" w:ascii="宋体" w:hAnsi="宋体"/>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pPr>
        <w:ind w:firstLine="482" w:firstLineChars="200"/>
        <w:rPr>
          <w:rFonts w:ascii="宋体" w:hAnsi="宋体"/>
          <w:b/>
          <w:color w:val="FF0000"/>
          <w:sz w:val="24"/>
        </w:rPr>
      </w:pPr>
      <w:r>
        <w:rPr>
          <w:rFonts w:hint="eastAsia" w:ascii="宋体" w:hAnsi="宋体"/>
          <w:b/>
          <w:color w:val="FF0000"/>
          <w:sz w:val="24"/>
        </w:rPr>
        <w:t>4.</w:t>
      </w:r>
      <w:r>
        <w:rPr>
          <w:rFonts w:ascii="宋体" w:hAnsi="宋体"/>
          <w:b/>
          <w:color w:val="FF0000"/>
          <w:sz w:val="24"/>
        </w:rPr>
        <w:t xml:space="preserve"> </w:t>
      </w:r>
      <w:r>
        <w:rPr>
          <w:rFonts w:hint="eastAsia" w:ascii="宋体" w:hAnsi="宋体"/>
          <w:b/>
          <w:color w:val="FF0000"/>
          <w:sz w:val="24"/>
        </w:rPr>
        <w:t>开标一览表的投标总价应当与项目报价表的投标总价一致。</w:t>
      </w:r>
    </w:p>
    <w:p>
      <w:pPr>
        <w:ind w:firstLine="472" w:firstLineChars="196"/>
        <w:rPr>
          <w:rFonts w:ascii="宋体" w:hAnsi="宋体"/>
          <w:b/>
          <w:color w:val="FF0000"/>
          <w:sz w:val="24"/>
        </w:rPr>
      </w:pPr>
      <w:r>
        <w:rPr>
          <w:rFonts w:hint="eastAsia" w:ascii="宋体" w:hAnsi="宋体"/>
          <w:b/>
          <w:color w:val="FF0000"/>
          <w:sz w:val="24"/>
        </w:rPr>
        <w:t>5.</w:t>
      </w:r>
      <w:r>
        <w:rPr>
          <w:rFonts w:ascii="宋体" w:hAnsi="宋体"/>
          <w:b/>
          <w:color w:val="FF0000"/>
          <w:sz w:val="24"/>
        </w:rPr>
        <w:t xml:space="preserve"> </w:t>
      </w:r>
      <w:r>
        <w:rPr>
          <w:rFonts w:hint="eastAsia" w:ascii="宋体" w:hAnsi="宋体"/>
          <w:b/>
          <w:color w:val="FF0000"/>
          <w:sz w:val="24"/>
        </w:rPr>
        <w:t>“原产地”是指该产品的实际生产加工地，而非品牌总公司所在地。</w:t>
      </w:r>
    </w:p>
    <w:p>
      <w:pPr>
        <w:ind w:firstLine="472" w:firstLineChars="196"/>
        <w:rPr>
          <w:rFonts w:ascii="宋体" w:hAnsi="宋体"/>
          <w:b/>
          <w:color w:val="FF0000"/>
          <w:sz w:val="24"/>
        </w:rPr>
      </w:pPr>
      <w:r>
        <w:rPr>
          <w:rFonts w:hint="eastAsia" w:ascii="宋体" w:hAnsi="宋体"/>
          <w:b/>
          <w:color w:val="FF0000"/>
          <w:sz w:val="24"/>
        </w:rPr>
        <w:t>6.</w:t>
      </w:r>
      <w:r>
        <w:rPr>
          <w:rFonts w:hint="eastAsia"/>
        </w:rPr>
        <w:t xml:space="preserve"> </w:t>
      </w:r>
      <w:r>
        <w:rPr>
          <w:rFonts w:hint="eastAsia" w:ascii="宋体" w:hAnsi="宋体"/>
          <w:b/>
          <w:color w:val="FF0000"/>
          <w:sz w:val="24"/>
        </w:rPr>
        <w:t>详细填写所投货物的制造商名称；若如所投产品属于定制类的非量产货物或无具体型号的货物，可以不填写型号等信息，但应当标注投标产品为定制产品。</w:t>
      </w:r>
    </w:p>
    <w:p>
      <w:pPr>
        <w:rPr>
          <w:rFonts w:ascii="宋体" w:hAnsi="宋体"/>
          <w:b/>
          <w:color w:val="FF0000"/>
          <w:sz w:val="24"/>
        </w:rPr>
      </w:pPr>
    </w:p>
    <w:p>
      <w:pPr>
        <w:numPr>
          <w:ilvl w:val="0"/>
          <w:numId w:val="10"/>
        </w:numPr>
        <w:ind w:left="482" w:hanging="482"/>
        <w:jc w:val="center"/>
        <w:rPr>
          <w:b/>
          <w:sz w:val="24"/>
        </w:rPr>
      </w:pPr>
      <w:r>
        <w:rPr>
          <w:rFonts w:hint="eastAsia"/>
          <w:b/>
          <w:sz w:val="24"/>
        </w:rPr>
        <w:t>核心产品的品牌情况</w:t>
      </w:r>
    </w:p>
    <w:p>
      <w:pPr>
        <w:ind w:firstLine="482" w:firstLineChars="200"/>
        <w:rPr>
          <w:rFonts w:ascii="宋体" w:hAnsi="宋体"/>
          <w:b/>
          <w:color w:val="FF0000"/>
          <w:sz w:val="24"/>
        </w:rPr>
      </w:pPr>
    </w:p>
    <w:p>
      <w:pPr>
        <w:ind w:firstLine="482" w:firstLineChars="200"/>
        <w:rPr>
          <w:rFonts w:ascii="宋体" w:hAnsi="宋体"/>
          <w:b/>
          <w:color w:val="FF0000"/>
          <w:sz w:val="24"/>
        </w:rPr>
      </w:pPr>
      <w:bookmarkStart w:id="29" w:name="_Hlk74240573"/>
      <w:r>
        <w:rPr>
          <w:rFonts w:hint="eastAsia"/>
          <w:b/>
          <w:color w:val="FF0000"/>
          <w:sz w:val="24"/>
        </w:rPr>
        <w:t>我公司所投核心产品的品牌为：</w:t>
      </w:r>
      <w:r>
        <w:rPr>
          <w:rFonts w:hint="eastAsia"/>
          <w:b/>
          <w:color w:val="FF0000"/>
          <w:sz w:val="24"/>
          <w:u w:val="single"/>
        </w:rPr>
        <w:t xml:space="preserve">        /       </w:t>
      </w:r>
      <w:r>
        <w:rPr>
          <w:rFonts w:hint="eastAsia"/>
          <w:b/>
          <w:color w:val="FF0000"/>
          <w:sz w:val="24"/>
        </w:rPr>
        <w:t>。</w:t>
      </w:r>
    </w:p>
    <w:bookmarkEnd w:id="29"/>
    <w:p>
      <w:pPr>
        <w:ind w:firstLine="482" w:firstLineChars="200"/>
        <w:rPr>
          <w:rFonts w:ascii="宋体" w:hAnsi="宋体"/>
          <w:b/>
          <w:color w:val="FF0000"/>
          <w:sz w:val="24"/>
        </w:rPr>
      </w:pPr>
    </w:p>
    <w:p>
      <w:pPr>
        <w:ind w:firstLine="480" w:firstLineChars="200"/>
        <w:rPr>
          <w:rFonts w:ascii="宋体" w:hAnsi="宋体"/>
          <w:sz w:val="24"/>
        </w:rPr>
      </w:pPr>
      <w:r>
        <w:rPr>
          <w:rFonts w:hint="eastAsia" w:ascii="宋体" w:hAnsi="宋体"/>
          <w:sz w:val="24"/>
        </w:rPr>
        <w:t>备注：招标文件未列明核心产品的，无需填写该项。</w:t>
      </w:r>
    </w:p>
    <w:p>
      <w:pPr>
        <w:ind w:firstLine="482" w:firstLineChars="200"/>
        <w:rPr>
          <w:rFonts w:ascii="宋体" w:hAnsi="宋体"/>
          <w:b/>
          <w:color w:val="FF0000"/>
          <w:sz w:val="24"/>
        </w:rPr>
      </w:pPr>
    </w:p>
    <w:p>
      <w:pPr>
        <w:ind w:firstLine="482" w:firstLineChars="200"/>
        <w:rPr>
          <w:rFonts w:ascii="宋体" w:hAnsi="宋体"/>
          <w:b/>
          <w:color w:val="FF0000"/>
          <w:sz w:val="24"/>
        </w:rPr>
      </w:pPr>
    </w:p>
    <w:p>
      <w:pPr>
        <w:rPr>
          <w:b/>
          <w:sz w:val="24"/>
        </w:rPr>
      </w:pPr>
    </w:p>
    <w:p>
      <w:pPr>
        <w:numPr>
          <w:ilvl w:val="0"/>
          <w:numId w:val="10"/>
        </w:numPr>
        <w:ind w:left="482" w:hanging="482"/>
        <w:jc w:val="center"/>
        <w:rPr>
          <w:b/>
          <w:sz w:val="24"/>
        </w:rPr>
      </w:pPr>
      <w:r>
        <w:rPr>
          <w:rFonts w:hint="eastAsia"/>
          <w:b/>
          <w:sz w:val="24"/>
        </w:rPr>
        <w:t>可选配件报价清单（不包括在总报价内）</w:t>
      </w:r>
    </w:p>
    <w:p>
      <w:pPr>
        <w:ind w:firstLine="422" w:firstLineChars="200"/>
        <w:rPr>
          <w:rFonts w:hAnsi="宋体"/>
          <w:b/>
          <w:bCs/>
          <w:szCs w:val="21"/>
        </w:rPr>
      </w:pPr>
      <w:r>
        <w:rPr>
          <w:rFonts w:hint="eastAsia" w:hAnsi="宋体"/>
          <w:b/>
          <w:bCs/>
          <w:szCs w:val="21"/>
        </w:rPr>
        <w:t>注：格式参照《（一）项目报价表》表格，但须提供相应的品牌（没有品牌的，可提供制造商名称）、规格型号、原产地、单价等详细信息</w:t>
      </w:r>
    </w:p>
    <w:p>
      <w:pPr>
        <w:ind w:firstLine="482" w:firstLineChars="200"/>
        <w:rPr>
          <w:rFonts w:hAnsi="宋体"/>
          <w:b/>
          <w:bCs/>
          <w:sz w:val="24"/>
        </w:rPr>
      </w:pPr>
    </w:p>
    <w:p>
      <w:pPr>
        <w:ind w:firstLine="482" w:firstLineChars="200"/>
        <w:rPr>
          <w:rFonts w:hAnsi="宋体"/>
          <w:b/>
          <w:bCs/>
          <w:sz w:val="24"/>
        </w:rPr>
      </w:pPr>
    </w:p>
    <w:p>
      <w:pPr>
        <w:numPr>
          <w:ilvl w:val="0"/>
          <w:numId w:val="10"/>
        </w:numPr>
        <w:ind w:left="482" w:hanging="482"/>
        <w:jc w:val="center"/>
        <w:rPr>
          <w:b/>
          <w:sz w:val="24"/>
        </w:rPr>
      </w:pPr>
      <w:r>
        <w:rPr>
          <w:rFonts w:hint="eastAsia"/>
          <w:b/>
          <w:sz w:val="24"/>
        </w:rPr>
        <w:t>供应商认为需要涉及的其他内容报价清单</w:t>
      </w:r>
    </w:p>
    <w:p>
      <w:pPr>
        <w:widowControl/>
        <w:jc w:val="left"/>
        <w:rPr>
          <w:rFonts w:hAnsi="宋体"/>
          <w:b/>
          <w:bCs/>
          <w:sz w:val="24"/>
        </w:rPr>
      </w:pPr>
      <w:r>
        <w:rPr>
          <w:rFonts w:hAnsi="宋体"/>
          <w:b/>
          <w:bCs/>
          <w:sz w:val="24"/>
        </w:rPr>
        <w:br w:type="page"/>
      </w:r>
    </w:p>
    <w:p>
      <w:pPr>
        <w:pStyle w:val="3"/>
        <w:jc w:val="center"/>
        <w:rPr>
          <w:rFonts w:ascii="黑体" w:eastAsia="黑体"/>
          <w:b w:val="0"/>
          <w:sz w:val="24"/>
          <w:szCs w:val="24"/>
        </w:rPr>
      </w:pPr>
      <w:r>
        <w:rPr>
          <w:rFonts w:hint="eastAsia" w:ascii="黑体" w:eastAsia="黑体"/>
          <w:b w:val="0"/>
          <w:sz w:val="24"/>
          <w:szCs w:val="24"/>
        </w:rPr>
        <w:t>四、投标人情况介绍</w:t>
      </w:r>
    </w:p>
    <w:p>
      <w:pPr>
        <w:outlineLvl w:val="3"/>
        <w:rPr>
          <w:b/>
          <w:bCs/>
          <w:sz w:val="24"/>
        </w:rPr>
      </w:pPr>
      <w:r>
        <w:rPr>
          <w:rFonts w:hint="eastAsia"/>
          <w:b/>
          <w:bCs/>
          <w:sz w:val="24"/>
        </w:rPr>
        <w:t>（一）投标人</w:t>
      </w:r>
      <w:r>
        <w:rPr>
          <w:rFonts w:hint="eastAsia"/>
          <w:b/>
          <w:sz w:val="24"/>
        </w:rPr>
        <w:t>资格证明文件</w:t>
      </w:r>
    </w:p>
    <w:p>
      <w:pPr>
        <w:spacing w:before="120" w:beforeLines="50"/>
        <w:rPr>
          <w:b/>
          <w:bCs/>
          <w:color w:val="FF0000"/>
        </w:rPr>
      </w:pPr>
      <w:r>
        <w:rPr>
          <w:rFonts w:hint="eastAsia"/>
          <w:b/>
          <w:bCs/>
          <w:color w:val="FF0000"/>
        </w:rPr>
        <w:t>（特别提示：投标人须按本招标文件第一章招标公告 “投标人资质要求”提供相关的资质证明，未提供或提供不完整、不符合要求的，投标文件将按无效投标处理。）</w:t>
      </w:r>
    </w:p>
    <w:p>
      <w:pPr>
        <w:rPr>
          <w:b/>
          <w:sz w:val="24"/>
        </w:rPr>
      </w:pPr>
    </w:p>
    <w:p>
      <w:pPr>
        <w:outlineLvl w:val="3"/>
        <w:rPr>
          <w:b/>
          <w:bCs/>
          <w:sz w:val="24"/>
        </w:rPr>
      </w:pPr>
      <w:r>
        <w:rPr>
          <w:rFonts w:hint="eastAsia"/>
          <w:b/>
          <w:bCs/>
          <w:sz w:val="24"/>
        </w:rPr>
        <w:t>（</w:t>
      </w:r>
      <w:r>
        <w:rPr>
          <w:rFonts w:hint="eastAsia"/>
          <w:b/>
          <w:sz w:val="24"/>
        </w:rPr>
        <w:t>二）</w:t>
      </w:r>
      <w:r>
        <w:rPr>
          <w:rFonts w:hint="eastAsia"/>
          <w:b/>
          <w:bCs/>
          <w:sz w:val="24"/>
        </w:rPr>
        <w:t>近三年同类业绩</w:t>
      </w:r>
      <w:r>
        <w:rPr>
          <w:rFonts w:hint="eastAsia"/>
          <w:b/>
          <w:sz w:val="24"/>
        </w:rPr>
        <w:t>（可选）</w:t>
      </w:r>
    </w:p>
    <w:tbl>
      <w:tblPr>
        <w:tblStyle w:val="43"/>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1583"/>
        <w:gridCol w:w="1421"/>
        <w:gridCol w:w="1342"/>
        <w:gridCol w:w="1344"/>
        <w:gridCol w:w="1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6"/>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jc w:val="center"/>
              <w:rPr>
                <w:rFonts w:ascii="宋体" w:hAnsi="宋体"/>
                <w:szCs w:val="21"/>
              </w:rPr>
            </w:pPr>
            <w:r>
              <w:rPr>
                <w:rFonts w:hint="eastAsia" w:ascii="宋体" w:hAnsi="宋体"/>
                <w:szCs w:val="21"/>
              </w:rPr>
              <w:t>采购人</w:t>
            </w:r>
          </w:p>
        </w:tc>
        <w:tc>
          <w:tcPr>
            <w:tcW w:w="928" w:type="pct"/>
            <w:vAlign w:val="center"/>
          </w:tcPr>
          <w:p>
            <w:pPr>
              <w:jc w:val="center"/>
              <w:rPr>
                <w:rFonts w:ascii="宋体" w:hAnsi="宋体"/>
                <w:szCs w:val="21"/>
              </w:rPr>
            </w:pPr>
            <w:r>
              <w:rPr>
                <w:rFonts w:hint="eastAsia" w:ascii="宋体" w:hAnsi="宋体"/>
                <w:szCs w:val="21"/>
              </w:rPr>
              <w:t>项目名称</w:t>
            </w:r>
          </w:p>
        </w:tc>
        <w:tc>
          <w:tcPr>
            <w:tcW w:w="833" w:type="pct"/>
            <w:vAlign w:val="center"/>
          </w:tcPr>
          <w:p>
            <w:pPr>
              <w:jc w:val="center"/>
              <w:rPr>
                <w:rFonts w:ascii="宋体" w:hAnsi="宋体"/>
                <w:szCs w:val="21"/>
              </w:rPr>
            </w:pPr>
            <w:r>
              <w:rPr>
                <w:rFonts w:hint="eastAsia" w:ascii="宋体" w:hAnsi="宋体"/>
                <w:szCs w:val="21"/>
              </w:rPr>
              <w:t>项目规模（金额）</w:t>
            </w:r>
          </w:p>
        </w:tc>
        <w:tc>
          <w:tcPr>
            <w:tcW w:w="787" w:type="pct"/>
            <w:vAlign w:val="center"/>
          </w:tcPr>
          <w:p>
            <w:pPr>
              <w:jc w:val="center"/>
              <w:rPr>
                <w:rFonts w:ascii="宋体" w:hAnsi="宋体"/>
                <w:szCs w:val="21"/>
              </w:rPr>
            </w:pPr>
            <w:r>
              <w:rPr>
                <w:rFonts w:hint="eastAsia" w:ascii="宋体" w:hAnsi="宋体"/>
                <w:szCs w:val="21"/>
              </w:rPr>
              <w:t>合同签订日期</w:t>
            </w:r>
          </w:p>
        </w:tc>
        <w:tc>
          <w:tcPr>
            <w:tcW w:w="788" w:type="pct"/>
            <w:vAlign w:val="center"/>
          </w:tcPr>
          <w:p>
            <w:pPr>
              <w:jc w:val="center"/>
              <w:rPr>
                <w:rFonts w:ascii="宋体" w:hAnsi="宋体"/>
                <w:szCs w:val="21"/>
              </w:rPr>
            </w:pPr>
            <w:r>
              <w:rPr>
                <w:rFonts w:hint="eastAsia" w:ascii="宋体" w:hAnsi="宋体"/>
                <w:szCs w:val="21"/>
              </w:rPr>
              <w:t>履约验收时间</w:t>
            </w:r>
          </w:p>
        </w:tc>
        <w:tc>
          <w:tcPr>
            <w:tcW w:w="790" w:type="pct"/>
            <w:vAlign w:val="center"/>
          </w:tcPr>
          <w:p>
            <w:pPr>
              <w:jc w:val="center"/>
              <w:rPr>
                <w:rFonts w:ascii="宋体" w:hAnsi="宋体"/>
                <w:szCs w:val="21"/>
              </w:rPr>
            </w:pPr>
            <w:r>
              <w:rPr>
                <w:rFonts w:hint="eastAsia" w:ascii="宋体" w:hAnsi="宋体"/>
                <w:szCs w:val="21"/>
              </w:rPr>
              <w:t>完成质量情况（以履约验收报告为准）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71" w:type="pct"/>
            <w:vAlign w:val="center"/>
          </w:tcPr>
          <w:p>
            <w:pPr>
              <w:ind w:firstLine="420" w:firstLineChars="200"/>
              <w:rPr>
                <w:rFonts w:ascii="宋体" w:hAnsi="宋体"/>
                <w:szCs w:val="21"/>
              </w:rPr>
            </w:pPr>
          </w:p>
        </w:tc>
        <w:tc>
          <w:tcPr>
            <w:tcW w:w="928" w:type="pct"/>
            <w:vAlign w:val="center"/>
          </w:tcPr>
          <w:p>
            <w:pPr>
              <w:ind w:firstLine="420" w:firstLineChars="200"/>
              <w:rPr>
                <w:rFonts w:ascii="宋体" w:hAnsi="宋体"/>
                <w:szCs w:val="21"/>
              </w:rPr>
            </w:pPr>
          </w:p>
        </w:tc>
        <w:tc>
          <w:tcPr>
            <w:tcW w:w="833" w:type="pct"/>
            <w:vAlign w:val="center"/>
          </w:tcPr>
          <w:p>
            <w:pPr>
              <w:ind w:firstLine="420" w:firstLineChars="200"/>
              <w:rPr>
                <w:rFonts w:ascii="宋体" w:hAnsi="宋体"/>
                <w:szCs w:val="21"/>
              </w:rPr>
            </w:pPr>
          </w:p>
        </w:tc>
        <w:tc>
          <w:tcPr>
            <w:tcW w:w="787" w:type="pct"/>
            <w:vAlign w:val="center"/>
          </w:tcPr>
          <w:p>
            <w:pPr>
              <w:ind w:firstLine="420" w:firstLineChars="200"/>
              <w:rPr>
                <w:rFonts w:ascii="宋体" w:hAnsi="宋体"/>
                <w:szCs w:val="21"/>
              </w:rPr>
            </w:pPr>
          </w:p>
        </w:tc>
        <w:tc>
          <w:tcPr>
            <w:tcW w:w="788" w:type="pct"/>
            <w:vAlign w:val="center"/>
          </w:tcPr>
          <w:p>
            <w:pPr>
              <w:ind w:firstLine="420" w:firstLineChars="200"/>
              <w:rPr>
                <w:rFonts w:ascii="宋体" w:hAnsi="宋体"/>
                <w:szCs w:val="21"/>
              </w:rPr>
            </w:pPr>
          </w:p>
        </w:tc>
        <w:tc>
          <w:tcPr>
            <w:tcW w:w="790" w:type="pct"/>
            <w:vAlign w:val="center"/>
          </w:tcPr>
          <w:p>
            <w:pPr>
              <w:ind w:firstLine="420" w:firstLineChars="200"/>
              <w:rPr>
                <w:rFonts w:ascii="宋体" w:hAnsi="宋体"/>
                <w:szCs w:val="21"/>
              </w:rPr>
            </w:pPr>
          </w:p>
        </w:tc>
      </w:tr>
    </w:tbl>
    <w:p>
      <w:pPr>
        <w:ind w:firstLine="420" w:firstLineChars="200"/>
        <w:rPr>
          <w:rFonts w:ascii="宋体" w:hAnsi="宋体"/>
          <w:szCs w:val="21"/>
        </w:rPr>
      </w:pPr>
    </w:p>
    <w:p>
      <w:pPr>
        <w:ind w:firstLine="422" w:firstLineChars="200"/>
        <w:rPr>
          <w:rFonts w:asciiTheme="minorEastAsia" w:hAnsiTheme="minorEastAsia" w:eastAsiaTheme="minorEastAsia"/>
          <w:b/>
          <w:szCs w:val="21"/>
        </w:rPr>
      </w:pPr>
    </w:p>
    <w:p>
      <w:pPr>
        <w:jc w:val="center"/>
        <w:outlineLvl w:val="3"/>
        <w:rPr>
          <w:rFonts w:ascii="黑体" w:hAnsi="宋体" w:eastAsia="黑体"/>
          <w:bCs/>
          <w:kern w:val="0"/>
          <w:sz w:val="24"/>
          <w:szCs w:val="32"/>
        </w:rPr>
      </w:pPr>
      <w:bookmarkStart w:id="30" w:name="_Hlk74238990"/>
      <w:r>
        <w:rPr>
          <w:rFonts w:hint="eastAsia" w:asciiTheme="minorEastAsia" w:hAnsiTheme="minorEastAsia" w:eastAsiaTheme="minorEastAsia"/>
          <w:b/>
          <w:bCs/>
          <w:kern w:val="0"/>
          <w:sz w:val="24"/>
          <w:szCs w:val="32"/>
        </w:rPr>
        <w:t>（三）中小企业声明函、残疾人福利性单位声明函及监狱企业声明函</w:t>
      </w:r>
      <w:r>
        <w:rPr>
          <w:rFonts w:hint="eastAsia"/>
          <w:b/>
          <w:color w:val="FF0000"/>
          <w:szCs w:val="22"/>
        </w:rPr>
        <w:t>(可选项)</w:t>
      </w:r>
    </w:p>
    <w:p>
      <w:pPr>
        <w:ind w:firstLine="422" w:firstLineChars="200"/>
        <w:rPr>
          <w:b/>
          <w:color w:val="FF0000"/>
          <w:szCs w:val="22"/>
        </w:rPr>
      </w:pPr>
    </w:p>
    <w:p>
      <w:pPr>
        <w:ind w:firstLine="422" w:firstLineChars="200"/>
        <w:rPr>
          <w:b/>
          <w:color w:val="FF0000"/>
          <w:szCs w:val="22"/>
        </w:rPr>
      </w:pPr>
      <w:r>
        <w:rPr>
          <w:rFonts w:hint="eastAsia"/>
          <w:b/>
          <w:color w:val="FF0000"/>
          <w:szCs w:val="22"/>
        </w:rPr>
        <w:t>填写指引：</w:t>
      </w:r>
    </w:p>
    <w:p>
      <w:pPr>
        <w:ind w:firstLine="422" w:firstLineChars="200"/>
        <w:rPr>
          <w:b/>
          <w:color w:val="FF0000"/>
          <w:szCs w:val="22"/>
        </w:rPr>
      </w:pPr>
      <w:r>
        <w:rPr>
          <w:b/>
          <w:color w:val="FF0000"/>
          <w:szCs w:val="22"/>
        </w:rPr>
        <w:t>1</w:t>
      </w:r>
      <w:r>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、该部分内容由供应商根据自身实际情况填写，不符合要求的供应商可以不填写或直接删除相应的声明函。供应商自行对声明内容的真实性负责；如提供虚假声明，将报送主管部门进行处理。</w:t>
      </w:r>
      <w:r>
        <w:rPr>
          <w:rFonts w:hint="eastAsia"/>
          <w:b/>
          <w:color w:val="FF0000"/>
        </w:rPr>
        <w:t>若无法确定是否为中小微企业，可查阅《关于印发中小企业划型标准规定的通知》（工信部联企业〔20</w:t>
      </w:r>
      <w:r>
        <w:rPr>
          <w:b/>
          <w:color w:val="FF0000"/>
        </w:rPr>
        <w:t>11</w:t>
      </w:r>
      <w:r>
        <w:rPr>
          <w:rFonts w:hint="eastAsia"/>
          <w:b/>
          <w:color w:val="FF0000"/>
        </w:rPr>
        <w:t>〕</w:t>
      </w:r>
      <w:r>
        <w:rPr>
          <w:b/>
          <w:color w:val="FF0000"/>
        </w:rPr>
        <w:t>300</w:t>
      </w:r>
      <w:r>
        <w:rPr>
          <w:rFonts w:hint="eastAsia"/>
          <w:b/>
          <w:color w:val="FF0000"/>
        </w:rPr>
        <w:t>号）或向供应商注册登记所在地的县级以上人民政府中小企业主管部门咨询。</w:t>
      </w:r>
    </w:p>
    <w:p>
      <w:pPr>
        <w:ind w:firstLine="422" w:firstLineChars="200"/>
        <w:rPr>
          <w:b/>
          <w:color w:val="FF0000"/>
          <w:szCs w:val="22"/>
        </w:rPr>
      </w:pPr>
      <w:r>
        <w:rPr>
          <w:b/>
          <w:color w:val="FF0000"/>
          <w:szCs w:val="22"/>
        </w:rPr>
        <w:t>2</w:t>
      </w:r>
      <w:r>
        <w:rPr>
          <w:rFonts w:hint="eastAsia"/>
          <w:b/>
          <w:color w:val="FF0000"/>
          <w:szCs w:val="22"/>
        </w:rPr>
        <w:t>、该部分内容填写需要参考的相关文件：</w:t>
      </w:r>
      <w:r>
        <w:rPr>
          <w:b/>
          <w:color w:val="FF0000"/>
          <w:szCs w:val="22"/>
        </w:rPr>
        <w:t xml:space="preserve">(1) </w:t>
      </w:r>
      <w:r>
        <w:rPr>
          <w:rFonts w:hint="eastAsia"/>
          <w:b/>
          <w:color w:val="FF0000"/>
          <w:szCs w:val="22"/>
        </w:rPr>
        <w:t>《政府采购促进中小企业发展管理办法》（财库〔</w:t>
      </w:r>
      <w:r>
        <w:rPr>
          <w:b/>
          <w:color w:val="FF0000"/>
          <w:szCs w:val="22"/>
        </w:rPr>
        <w:t>2020</w:t>
      </w:r>
      <w:r>
        <w:rPr>
          <w:rFonts w:hint="eastAsia"/>
          <w:b/>
          <w:color w:val="FF0000"/>
          <w:szCs w:val="22"/>
        </w:rPr>
        <w:t>〕</w:t>
      </w:r>
      <w:r>
        <w:rPr>
          <w:b/>
          <w:color w:val="FF0000"/>
          <w:szCs w:val="22"/>
        </w:rPr>
        <w:t>46</w:t>
      </w:r>
      <w:r>
        <w:rPr>
          <w:rFonts w:hint="eastAsia"/>
          <w:b/>
          <w:color w:val="FF0000"/>
          <w:szCs w:val="22"/>
        </w:rPr>
        <w:t>号）；</w:t>
      </w:r>
      <w:r>
        <w:rPr>
          <w:b/>
          <w:color w:val="FF0000"/>
          <w:szCs w:val="22"/>
        </w:rPr>
        <w:t xml:space="preserve">(2) </w:t>
      </w:r>
      <w:r>
        <w:rPr>
          <w:rFonts w:hint="eastAsia"/>
          <w:b/>
          <w:color w:val="FF0000"/>
          <w:szCs w:val="22"/>
        </w:rPr>
        <w:t>《工业和信息化部、国家统计局、国家发展和改革委员会、财政部关于印发中小企业划型标准规定的通知》（工信部联企业〔</w:t>
      </w:r>
      <w:r>
        <w:rPr>
          <w:b/>
          <w:color w:val="FF0000"/>
          <w:szCs w:val="22"/>
        </w:rPr>
        <w:t>2011</w:t>
      </w:r>
      <w:r>
        <w:rPr>
          <w:rFonts w:hint="eastAsia"/>
          <w:b/>
          <w:color w:val="FF0000"/>
          <w:szCs w:val="22"/>
        </w:rPr>
        <w:t>〕</w:t>
      </w:r>
      <w:r>
        <w:rPr>
          <w:b/>
          <w:color w:val="FF0000"/>
          <w:szCs w:val="22"/>
        </w:rPr>
        <w:t xml:space="preserve">300 </w:t>
      </w:r>
      <w:r>
        <w:rPr>
          <w:rFonts w:hint="eastAsia"/>
          <w:b/>
          <w:color w:val="FF0000"/>
          <w:szCs w:val="22"/>
        </w:rPr>
        <w:t>号）。</w:t>
      </w:r>
    </w:p>
    <w:p>
      <w:pPr>
        <w:ind w:firstLine="422" w:firstLineChars="200"/>
        <w:rPr>
          <w:b/>
          <w:color w:val="FF0000"/>
          <w:szCs w:val="22"/>
        </w:rPr>
      </w:pPr>
      <w:r>
        <w:rPr>
          <w:b/>
          <w:color w:val="FF0000"/>
          <w:szCs w:val="22"/>
        </w:rPr>
        <w:t>3</w:t>
      </w:r>
      <w:r>
        <w:rPr>
          <w:rFonts w:hint="eastAsia"/>
          <w:b/>
          <w:color w:val="FF0000"/>
          <w:szCs w:val="22"/>
        </w:rPr>
        <w:t>、请依照提供的格式和内容填写声明函，不要随意变更格式或增删内容；满足多项优惠政策的供应商，不重复享受多项价格扣除政策。</w:t>
      </w:r>
    </w:p>
    <w:p>
      <w:pPr>
        <w:spacing w:after="120"/>
        <w:ind w:firstLine="422" w:firstLineChars="200"/>
      </w:pPr>
      <w:r>
        <w:rPr>
          <w:b/>
          <w:color w:val="FF0000"/>
          <w:szCs w:val="22"/>
        </w:rPr>
        <w:t>4</w:t>
      </w:r>
      <w:r>
        <w:rPr>
          <w:rFonts w:hint="eastAsia"/>
          <w:b/>
          <w:color w:val="FF0000"/>
          <w:szCs w:val="22"/>
        </w:rPr>
        <w:t>、组成联合体或者接受分包的小微企业与联合体内其他企业、分包企业之间存在直接控股、管理关系的，不享受价格扣除优惠。</w:t>
      </w:r>
    </w:p>
    <w:p>
      <w:pPr>
        <w:ind w:firstLine="422" w:firstLineChars="200"/>
        <w:rPr>
          <w:b/>
          <w:color w:val="FF0000"/>
          <w:szCs w:val="22"/>
        </w:rPr>
      </w:pPr>
      <w:r>
        <w:rPr>
          <w:b/>
          <w:color w:val="FF0000"/>
          <w:szCs w:val="22"/>
        </w:rPr>
        <w:t>5</w:t>
      </w:r>
      <w:r>
        <w:rPr>
          <w:rFonts w:hint="eastAsia"/>
          <w:b/>
          <w:color w:val="FF0000"/>
          <w:szCs w:val="22"/>
        </w:rPr>
        <w:t>、声明函具体填写要求：</w:t>
      </w:r>
    </w:p>
    <w:p>
      <w:pPr>
        <w:ind w:firstLine="422" w:firstLineChars="200"/>
        <w:rPr>
          <w:b/>
          <w:color w:val="FF0000"/>
          <w:szCs w:val="22"/>
        </w:rPr>
      </w:pPr>
      <w:r>
        <w:rPr>
          <w:rFonts w:hint="eastAsia"/>
          <w:b/>
          <w:color w:val="FF0000"/>
          <w:szCs w:val="22"/>
        </w:rPr>
        <w:t>（</w:t>
      </w:r>
      <w:r>
        <w:rPr>
          <w:b/>
          <w:color w:val="FF0000"/>
          <w:szCs w:val="22"/>
        </w:rPr>
        <w:t>1</w:t>
      </w:r>
      <w:r>
        <w:rPr>
          <w:rFonts w:hint="eastAsia"/>
          <w:b/>
          <w:color w:val="FF0000"/>
          <w:szCs w:val="22"/>
        </w:rPr>
        <w:t>）请供应商根据实际情况填写《中小企业声明函》的标红加下划线部分内容：</w:t>
      </w:r>
    </w:p>
    <w:p>
      <w:pPr>
        <w:ind w:firstLine="422" w:firstLineChars="200"/>
        <w:rPr>
          <w:b/>
          <w:color w:val="FF0000"/>
          <w:szCs w:val="22"/>
        </w:rPr>
      </w:pPr>
      <w:r>
        <w:rPr>
          <w:rFonts w:hint="eastAsia"/>
          <w:b/>
          <w:color w:val="FF0000"/>
          <w:szCs w:val="22"/>
        </w:rPr>
        <w:t>在“采购单位名称”下划线处填写本项目的实际采购单位名称（深圳公共资源交易中心（深圳交易集团有限公司政府采购业务分公司）不是本项目的采购单位，而是本项目的组织实施机构）；</w:t>
      </w:r>
    </w:p>
    <w:p>
      <w:pPr>
        <w:ind w:firstLine="422" w:firstLineChars="200"/>
        <w:rPr>
          <w:b/>
          <w:color w:val="FF0000"/>
          <w:szCs w:val="22"/>
        </w:rPr>
      </w:pPr>
      <w:r>
        <w:rPr>
          <w:rFonts w:hint="eastAsia"/>
          <w:b/>
          <w:color w:val="FF0000"/>
          <w:szCs w:val="22"/>
        </w:rPr>
        <w:t>在“采购项目名称”下划线处填写本项目的实际项目名称（项目名称可在招标公告处查看）；</w:t>
      </w:r>
    </w:p>
    <w:p>
      <w:pPr>
        <w:ind w:firstLine="422" w:firstLineChars="200"/>
        <w:rPr>
          <w:b/>
          <w:color w:val="FF0000"/>
          <w:szCs w:val="22"/>
        </w:rPr>
      </w:pPr>
      <w:r>
        <w:rPr>
          <w:rFonts w:hint="eastAsia"/>
          <w:b/>
          <w:color w:val="FF0000"/>
          <w:szCs w:val="22"/>
        </w:rPr>
        <w:t>在“标的名称”下划线处填写招标文件中采购需求中相对应的名称；</w:t>
      </w:r>
    </w:p>
    <w:p>
      <w:pPr>
        <w:ind w:firstLine="422" w:firstLineChars="200"/>
        <w:rPr>
          <w:b/>
          <w:color w:val="FF0000"/>
          <w:szCs w:val="22"/>
        </w:rPr>
      </w:pPr>
      <w:r>
        <w:rPr>
          <w:rFonts w:hint="eastAsia"/>
          <w:b/>
          <w:color w:val="FF0000"/>
          <w:szCs w:val="22"/>
        </w:rPr>
        <w:t>在“采购文件中明确的所属行业”中填写对应的行业类别；</w:t>
      </w:r>
    </w:p>
    <w:p>
      <w:pPr>
        <w:ind w:firstLine="422" w:firstLineChars="200"/>
        <w:rPr>
          <w:b/>
          <w:color w:val="FF0000"/>
          <w:szCs w:val="22"/>
        </w:rPr>
      </w:pPr>
      <w:r>
        <w:rPr>
          <w:rFonts w:hint="eastAsia"/>
          <w:b/>
          <w:color w:val="FF0000"/>
          <w:szCs w:val="22"/>
        </w:rPr>
        <w:t>在“企业名称”中填写所提供货物的制造商的企业名称，并如实填写该企业需要填报的其他情况。</w:t>
      </w:r>
    </w:p>
    <w:p>
      <w:pPr>
        <w:ind w:firstLine="422" w:firstLineChars="200"/>
        <w:rPr>
          <w:b/>
          <w:color w:val="FF0000"/>
          <w:szCs w:val="22"/>
        </w:rPr>
      </w:pPr>
      <w:r>
        <w:rPr>
          <w:rFonts w:hint="eastAsia"/>
          <w:b/>
          <w:color w:val="FF0000"/>
          <w:szCs w:val="22"/>
        </w:rPr>
        <w:t>（</w:t>
      </w:r>
      <w:r>
        <w:rPr>
          <w:b/>
          <w:color w:val="FF0000"/>
          <w:szCs w:val="22"/>
        </w:rPr>
        <w:t>2</w:t>
      </w:r>
      <w:r>
        <w:rPr>
          <w:rFonts w:hint="eastAsia"/>
          <w:b/>
          <w:color w:val="FF0000"/>
          <w:szCs w:val="22"/>
        </w:rPr>
        <w:t>）声明是残疾人福利性单位须填写《残疾人福利性单位声明函》的三项内容（填写位置的字体已加粗），具体参照以上《中小企业声明函》填写要求执行。</w:t>
      </w:r>
    </w:p>
    <w:p>
      <w:pPr>
        <w:ind w:firstLine="422" w:firstLineChars="200"/>
        <w:rPr>
          <w:b/>
          <w:color w:val="FF0000"/>
          <w:szCs w:val="22"/>
        </w:rPr>
      </w:pPr>
      <w:r>
        <w:rPr>
          <w:rFonts w:hint="eastAsia"/>
          <w:b/>
          <w:color w:val="FF0000"/>
          <w:szCs w:val="22"/>
        </w:rPr>
        <w:t>（</w:t>
      </w:r>
      <w:r>
        <w:rPr>
          <w:b/>
          <w:color w:val="FF0000"/>
          <w:szCs w:val="22"/>
        </w:rPr>
        <w:t>3</w:t>
      </w:r>
      <w:r>
        <w:rPr>
          <w:rFonts w:hint="eastAsia"/>
          <w:b/>
          <w:color w:val="FF0000"/>
          <w:szCs w:val="22"/>
        </w:rPr>
        <w:t>）声明是监狱企业须填写《监狱企业声明函》的三项内容（填写位置的字体已加粗），具体参照以上《中小企业声明函》填写要求执行。</w:t>
      </w:r>
    </w:p>
    <w:p>
      <w:pPr>
        <w:ind w:firstLine="422" w:firstLineChars="200"/>
        <w:rPr>
          <w:b/>
          <w:color w:val="FF0000"/>
          <w:szCs w:val="22"/>
        </w:rPr>
      </w:pPr>
      <w:r>
        <w:rPr>
          <w:b/>
          <w:color w:val="FF0000"/>
          <w:szCs w:val="22"/>
        </w:rPr>
        <w:t>6</w:t>
      </w:r>
      <w:r>
        <w:rPr>
          <w:rFonts w:hint="eastAsia"/>
          <w:b/>
          <w:color w:val="FF0000"/>
          <w:szCs w:val="22"/>
        </w:rPr>
        <w:t>、声明函的有效性最终由评审委员会判定。</w:t>
      </w:r>
    </w:p>
    <w:p>
      <w:pPr>
        <w:ind w:firstLine="422" w:firstLineChars="200"/>
        <w:rPr>
          <w:b/>
          <w:color w:val="FF0000"/>
          <w:szCs w:val="22"/>
        </w:rPr>
      </w:pPr>
      <w:r>
        <w:rPr>
          <w:b/>
          <w:color w:val="FF0000"/>
          <w:szCs w:val="22"/>
        </w:rPr>
        <w:t>7</w:t>
      </w:r>
      <w:r>
        <w:rPr>
          <w:rFonts w:hint="eastAsia"/>
          <w:b/>
          <w:color w:val="FF0000"/>
          <w:szCs w:val="22"/>
        </w:rPr>
        <w:t>、中标、成交供应商享受《政府采购促进中小企业发展管理办法》（财库〔</w:t>
      </w:r>
      <w:r>
        <w:rPr>
          <w:b/>
          <w:color w:val="FF0000"/>
          <w:szCs w:val="22"/>
        </w:rPr>
        <w:t>2020</w:t>
      </w:r>
      <w:r>
        <w:rPr>
          <w:rFonts w:hint="eastAsia"/>
          <w:b/>
          <w:color w:val="FF0000"/>
          <w:szCs w:val="22"/>
        </w:rPr>
        <w:t>〕</w:t>
      </w:r>
      <w:r>
        <w:rPr>
          <w:b/>
          <w:color w:val="FF0000"/>
          <w:szCs w:val="22"/>
        </w:rPr>
        <w:t>46</w:t>
      </w:r>
      <w:r>
        <w:rPr>
          <w:rFonts w:hint="eastAsia"/>
          <w:b/>
          <w:color w:val="FF0000"/>
          <w:szCs w:val="22"/>
        </w:rPr>
        <w:t>号）规定的中小企业扶持政策的，《中小企业声明函》随中标、成交结果公示。</w:t>
      </w:r>
    </w:p>
    <w:p>
      <w:pPr>
        <w:pStyle w:val="18"/>
        <w:rPr>
          <w:b w:val="0"/>
        </w:rPr>
      </w:pPr>
    </w:p>
    <w:p>
      <w:pPr>
        <w:jc w:val="center"/>
        <w:outlineLvl w:val="3"/>
        <w:rPr>
          <w:b/>
          <w:sz w:val="24"/>
        </w:rPr>
      </w:pPr>
    </w:p>
    <w:p>
      <w:pPr>
        <w:jc w:val="center"/>
        <w:outlineLvl w:val="3"/>
        <w:rPr>
          <w:b/>
          <w:sz w:val="24"/>
        </w:rPr>
      </w:pPr>
    </w:p>
    <w:p>
      <w:pPr>
        <w:outlineLvl w:val="3"/>
        <w:rPr>
          <w:b/>
          <w:sz w:val="24"/>
        </w:rPr>
      </w:pPr>
    </w:p>
    <w:p>
      <w:pPr>
        <w:jc w:val="center"/>
        <w:outlineLvl w:val="3"/>
        <w:rPr>
          <w:b/>
          <w:sz w:val="24"/>
        </w:rPr>
      </w:pPr>
      <w:r>
        <w:rPr>
          <w:rFonts w:hint="eastAsia"/>
          <w:b/>
          <w:sz w:val="24"/>
        </w:rPr>
        <w:t>1、中小企业声明函</w:t>
      </w:r>
    </w:p>
    <w:p>
      <w:pPr>
        <w:ind w:firstLine="420" w:firstLineChars="200"/>
        <w:rPr>
          <w:rFonts w:ascii="宋体" w:hAnsi="宋体"/>
          <w:szCs w:val="21"/>
        </w:rPr>
      </w:pPr>
      <w:r>
        <w:rPr>
          <w:rFonts w:hint="eastAsia" w:ascii="宋体" w:hAnsi="宋体"/>
          <w:szCs w:val="21"/>
        </w:rPr>
        <w:t>本公司（联合体）郑重声明，根据《政府采购促进中小企业发展管理办法》（财库〔2020〕46号）的规定，本公司（联合体）参加</w:t>
      </w:r>
      <w:r>
        <w:rPr>
          <w:rFonts w:hint="eastAsia" w:ascii="宋体" w:hAnsi="宋体"/>
          <w:szCs w:val="21"/>
          <w:u w:val="single"/>
        </w:rPr>
        <w:t xml:space="preserve"> </w:t>
      </w:r>
      <w:r>
        <w:rPr>
          <w:rFonts w:hint="eastAsia" w:ascii="宋体" w:hAnsi="宋体"/>
          <w:color w:val="FF0000"/>
          <w:szCs w:val="21"/>
          <w:u w:val="single"/>
        </w:rPr>
        <w:t xml:space="preserve"> （单位名称）</w:t>
      </w:r>
      <w:r>
        <w:rPr>
          <w:rFonts w:hint="eastAsia" w:ascii="宋体" w:hAnsi="宋体"/>
          <w:szCs w:val="21"/>
        </w:rPr>
        <w:t xml:space="preserve">的 </w:t>
      </w:r>
      <w:r>
        <w:rPr>
          <w:rFonts w:hint="eastAsia" w:ascii="宋体" w:hAnsi="宋体"/>
          <w:color w:val="FF0000"/>
          <w:szCs w:val="21"/>
          <w:u w:val="single"/>
        </w:rPr>
        <w:t>（项目名称）</w:t>
      </w:r>
      <w:r>
        <w:rPr>
          <w:rFonts w:hint="eastAsia" w:ascii="宋体" w:hAnsi="宋体"/>
          <w:szCs w:val="21"/>
          <w:u w:val="single"/>
        </w:rPr>
        <w:t xml:space="preserve"> </w:t>
      </w:r>
      <w:r>
        <w:rPr>
          <w:rFonts w:hint="eastAsia" w:ascii="宋体" w:hAnsi="宋体"/>
          <w:szCs w:val="21"/>
        </w:rPr>
        <w:t>采购活动，提供的货物全部由符合政策要求的中小企业制造、相关企业（含联合体中的中小企业、签订分包意向协议的中小企业）的具体情况如下：</w:t>
      </w:r>
    </w:p>
    <w:p>
      <w:pPr>
        <w:ind w:firstLine="420" w:firstLineChars="200"/>
        <w:rPr>
          <w:rFonts w:ascii="宋体" w:hAnsi="宋体"/>
          <w:szCs w:val="21"/>
        </w:rPr>
      </w:pPr>
      <w:r>
        <w:rPr>
          <w:rFonts w:hint="eastAsia" w:ascii="宋体" w:hAnsi="宋体"/>
          <w:color w:val="FF0000"/>
          <w:szCs w:val="21"/>
          <w:u w:val="single"/>
        </w:rPr>
        <w:t>（标的名称）</w:t>
      </w:r>
      <w:r>
        <w:rPr>
          <w:rFonts w:hint="eastAsia" w:ascii="宋体" w:hAnsi="宋体"/>
          <w:szCs w:val="21"/>
        </w:rPr>
        <w:t>，属于</w:t>
      </w:r>
      <w:r>
        <w:rPr>
          <w:rFonts w:hint="eastAsia" w:ascii="宋体" w:hAnsi="宋体"/>
          <w:color w:val="FF0000"/>
          <w:szCs w:val="21"/>
          <w:u w:val="single"/>
        </w:rPr>
        <w:t>（采购文件中明确的所属行业）</w:t>
      </w:r>
      <w:r>
        <w:rPr>
          <w:rFonts w:hint="eastAsia" w:ascii="宋体" w:hAnsi="宋体"/>
          <w:szCs w:val="21"/>
        </w:rPr>
        <w:t>行业；制造商为</w:t>
      </w:r>
      <w:r>
        <w:rPr>
          <w:rFonts w:hint="eastAsia" w:ascii="宋体" w:hAnsi="宋体"/>
          <w:color w:val="FF0000"/>
          <w:szCs w:val="21"/>
          <w:u w:val="single"/>
        </w:rPr>
        <w:t>（企业名称）</w:t>
      </w:r>
      <w:r>
        <w:rPr>
          <w:rFonts w:hint="eastAsia" w:ascii="宋体" w:hAnsi="宋体"/>
          <w:szCs w:val="21"/>
        </w:rPr>
        <w:t>，从业人员</w:t>
      </w:r>
      <w:r>
        <w:rPr>
          <w:rFonts w:hint="eastAsia" w:ascii="宋体" w:hAnsi="宋体"/>
          <w:color w:val="FF0000"/>
          <w:szCs w:val="21"/>
          <w:u w:val="single"/>
        </w:rPr>
        <w:t xml:space="preserve">    </w:t>
      </w:r>
      <w:r>
        <w:rPr>
          <w:rFonts w:hint="eastAsia" w:ascii="宋体" w:hAnsi="宋体"/>
          <w:szCs w:val="21"/>
        </w:rPr>
        <w:t>人，营业收入为</w:t>
      </w:r>
      <w:r>
        <w:rPr>
          <w:rFonts w:hint="eastAsia" w:ascii="宋体" w:hAnsi="宋体"/>
          <w:color w:val="FF0000"/>
          <w:szCs w:val="21"/>
          <w:u w:val="single"/>
        </w:rPr>
        <w:t xml:space="preserve">    </w:t>
      </w:r>
      <w:r>
        <w:rPr>
          <w:rFonts w:hint="eastAsia" w:ascii="宋体" w:hAnsi="宋体"/>
          <w:szCs w:val="21"/>
        </w:rPr>
        <w:t>万元，资产总额为</w:t>
      </w:r>
      <w:r>
        <w:rPr>
          <w:rFonts w:hint="eastAsia" w:ascii="宋体" w:hAnsi="宋体"/>
          <w:color w:val="FF0000"/>
          <w:szCs w:val="21"/>
          <w:u w:val="single"/>
        </w:rPr>
        <w:t xml:space="preserve">    </w:t>
      </w:r>
      <w:r>
        <w:rPr>
          <w:rFonts w:hint="eastAsia" w:ascii="宋体" w:hAnsi="宋体"/>
          <w:szCs w:val="21"/>
        </w:rPr>
        <w:t>万元，属于</w:t>
      </w:r>
      <w:r>
        <w:rPr>
          <w:rFonts w:hint="eastAsia" w:ascii="宋体" w:hAnsi="宋体"/>
          <w:color w:val="FF0000"/>
          <w:szCs w:val="21"/>
          <w:u w:val="single"/>
        </w:rPr>
        <w:t>（中型企业、小型企业、微型企业）</w:t>
      </w:r>
      <w:r>
        <w:rPr>
          <w:rFonts w:hint="eastAsia" w:ascii="宋体" w:hAnsi="宋体"/>
          <w:szCs w:val="21"/>
        </w:rPr>
        <w:t>；</w:t>
      </w:r>
    </w:p>
    <w:p>
      <w:pPr>
        <w:ind w:firstLine="420" w:firstLineChars="200"/>
        <w:rPr>
          <w:rFonts w:ascii="宋体" w:hAnsi="宋体"/>
          <w:szCs w:val="21"/>
        </w:rPr>
      </w:pPr>
      <w:r>
        <w:rPr>
          <w:rFonts w:hint="eastAsia" w:ascii="宋体" w:hAnsi="宋体"/>
          <w:color w:val="FF0000"/>
          <w:szCs w:val="21"/>
          <w:u w:val="single"/>
        </w:rPr>
        <w:t>（标的名称）</w:t>
      </w:r>
      <w:r>
        <w:rPr>
          <w:rFonts w:hint="eastAsia" w:ascii="宋体" w:hAnsi="宋体"/>
          <w:szCs w:val="21"/>
        </w:rPr>
        <w:t>，属于</w:t>
      </w:r>
      <w:r>
        <w:rPr>
          <w:rFonts w:hint="eastAsia" w:ascii="宋体" w:hAnsi="宋体"/>
          <w:color w:val="FF0000"/>
          <w:szCs w:val="21"/>
          <w:u w:val="single"/>
        </w:rPr>
        <w:t>（采购文件证明确的所属行业）</w:t>
      </w:r>
      <w:r>
        <w:rPr>
          <w:rFonts w:hint="eastAsia" w:ascii="宋体" w:hAnsi="宋体"/>
          <w:szCs w:val="21"/>
        </w:rPr>
        <w:t>行业；制造商为</w:t>
      </w:r>
      <w:r>
        <w:rPr>
          <w:rFonts w:hint="eastAsia" w:ascii="宋体" w:hAnsi="宋体"/>
          <w:color w:val="FF0000"/>
          <w:szCs w:val="21"/>
          <w:u w:val="single"/>
        </w:rPr>
        <w:t>（企业名称）</w:t>
      </w:r>
      <w:r>
        <w:rPr>
          <w:rFonts w:hint="eastAsia" w:ascii="宋体" w:hAnsi="宋体"/>
          <w:szCs w:val="21"/>
        </w:rPr>
        <w:t>，从业人员</w:t>
      </w:r>
      <w:r>
        <w:rPr>
          <w:rFonts w:hint="eastAsia" w:ascii="宋体" w:hAnsi="宋体"/>
          <w:color w:val="FF0000"/>
          <w:szCs w:val="21"/>
          <w:u w:val="single"/>
        </w:rPr>
        <w:t xml:space="preserve">    </w:t>
      </w:r>
      <w:r>
        <w:rPr>
          <w:rFonts w:hint="eastAsia" w:ascii="宋体" w:hAnsi="宋体"/>
          <w:szCs w:val="21"/>
        </w:rPr>
        <w:t>人，营业收入为</w:t>
      </w:r>
      <w:r>
        <w:rPr>
          <w:rFonts w:hint="eastAsia" w:ascii="宋体" w:hAnsi="宋体"/>
          <w:color w:val="FF0000"/>
          <w:szCs w:val="21"/>
          <w:u w:val="single"/>
        </w:rPr>
        <w:t xml:space="preserve">    </w:t>
      </w:r>
      <w:r>
        <w:rPr>
          <w:rFonts w:hint="eastAsia" w:ascii="宋体" w:hAnsi="宋体"/>
          <w:szCs w:val="21"/>
        </w:rPr>
        <w:t>万元，资产总额为</w:t>
      </w:r>
      <w:r>
        <w:rPr>
          <w:rFonts w:hint="eastAsia" w:ascii="宋体" w:hAnsi="宋体"/>
          <w:color w:val="FF0000"/>
          <w:szCs w:val="21"/>
          <w:u w:val="single"/>
        </w:rPr>
        <w:t xml:space="preserve">    </w:t>
      </w:r>
      <w:r>
        <w:rPr>
          <w:rFonts w:hint="eastAsia" w:ascii="宋体" w:hAnsi="宋体"/>
          <w:szCs w:val="21"/>
        </w:rPr>
        <w:t>万元，属于</w:t>
      </w:r>
      <w:r>
        <w:rPr>
          <w:rFonts w:hint="eastAsia" w:ascii="宋体" w:hAnsi="宋体"/>
          <w:color w:val="FF0000"/>
          <w:szCs w:val="21"/>
          <w:u w:val="single"/>
        </w:rPr>
        <w:t>（中型企业、小型企业、微型企业）</w:t>
      </w:r>
      <w:r>
        <w:rPr>
          <w:rFonts w:hint="eastAsia" w:ascii="宋体" w:hAnsi="宋体"/>
          <w:szCs w:val="21"/>
        </w:rPr>
        <w:t>；</w:t>
      </w:r>
    </w:p>
    <w:p>
      <w:pPr>
        <w:ind w:firstLine="420" w:firstLineChars="200"/>
        <w:rPr>
          <w:rFonts w:ascii="宋体" w:hAnsi="宋体"/>
          <w:szCs w:val="21"/>
        </w:rPr>
      </w:pPr>
      <w:r>
        <w:rPr>
          <w:rFonts w:hint="eastAsia" w:ascii="宋体" w:hAnsi="宋体"/>
          <w:szCs w:val="21"/>
        </w:rPr>
        <w:t>.........</w:t>
      </w:r>
    </w:p>
    <w:p>
      <w:pPr>
        <w:ind w:firstLine="420" w:firstLineChars="200"/>
        <w:rPr>
          <w:rFonts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ind w:firstLine="420" w:firstLineChars="200"/>
        <w:rPr>
          <w:rFonts w:ascii="宋体" w:hAnsi="宋体"/>
          <w:color w:val="FF0000"/>
          <w:szCs w:val="21"/>
        </w:rPr>
      </w:pPr>
      <w:r>
        <w:rPr>
          <w:rFonts w:hint="eastAsia" w:ascii="宋体" w:hAnsi="宋体"/>
          <w:color w:val="FF0000"/>
          <w:szCs w:val="21"/>
        </w:rPr>
        <w:t>本公司知悉《政府采购促进中小企业发展管理办法》（财库〔2020〕 46 号）、《中小企业划型标准规定》（工信部联企〔2011〕 300 号）、《统计上大中小微型企业划分办法（2017）》等 规定，承诺提供的声明函内容是真实的，并知悉根据《政府 采购促进中小企业发展管理办法》（财库〔2020〕46 号）第二十条规定，本公司按照本办法规定提供声明函内容不实的，属于提供虚假材料谋取中标、成交，依照《政府采购法》等政府采购有关法律法规规定追究相应责任。</w:t>
      </w:r>
    </w:p>
    <w:p>
      <w:pPr>
        <w:ind w:firstLine="420" w:firstLineChars="200"/>
        <w:rPr>
          <w:rFonts w:ascii="宋体" w:hAnsi="宋体"/>
          <w:strike/>
          <w:szCs w:val="21"/>
        </w:rPr>
      </w:pPr>
    </w:p>
    <w:p>
      <w:pPr>
        <w:ind w:firstLine="420" w:firstLineChars="200"/>
        <w:jc w:val="center"/>
        <w:rPr>
          <w:rFonts w:ascii="宋体" w:hAnsi="宋体"/>
          <w:color w:val="FF0000"/>
          <w:szCs w:val="21"/>
        </w:rPr>
      </w:pPr>
      <w:r>
        <w:rPr>
          <w:rFonts w:hint="eastAsia" w:ascii="宋体" w:hAnsi="宋体"/>
          <w:color w:val="FF0000"/>
          <w:szCs w:val="21"/>
        </w:rPr>
        <w:t xml:space="preserve">                                 企业名称：</w:t>
      </w:r>
      <w:r>
        <w:rPr>
          <w:rFonts w:hint="eastAsia"/>
          <w:b/>
          <w:color w:val="FF0000"/>
          <w:sz w:val="24"/>
          <w:u w:val="single"/>
        </w:rPr>
        <w:t xml:space="preserve">               </w:t>
      </w:r>
    </w:p>
    <w:p>
      <w:pPr>
        <w:ind w:firstLine="420" w:firstLineChars="200"/>
        <w:jc w:val="center"/>
        <w:rPr>
          <w:rFonts w:ascii="宋体" w:hAnsi="宋体"/>
          <w:color w:val="FF0000"/>
          <w:szCs w:val="21"/>
        </w:rPr>
      </w:pPr>
      <w:r>
        <w:rPr>
          <w:rFonts w:hint="eastAsia" w:ascii="宋体" w:hAnsi="宋体"/>
          <w:color w:val="FF0000"/>
          <w:szCs w:val="21"/>
        </w:rPr>
        <w:t xml:space="preserve">                          </w:t>
      </w:r>
      <w:r>
        <w:rPr>
          <w:rFonts w:ascii="宋体" w:hAnsi="宋体"/>
          <w:color w:val="FF0000"/>
          <w:szCs w:val="21"/>
        </w:rPr>
        <w:t xml:space="preserve">   </w:t>
      </w:r>
      <w:r>
        <w:rPr>
          <w:rFonts w:hint="eastAsia" w:ascii="宋体" w:hAnsi="宋体"/>
          <w:color w:val="FF0000"/>
          <w:szCs w:val="21"/>
        </w:rPr>
        <w:t>日期：</w:t>
      </w:r>
      <w:r>
        <w:rPr>
          <w:rFonts w:hint="eastAsia"/>
          <w:b/>
          <w:color w:val="FF0000"/>
          <w:sz w:val="24"/>
          <w:u w:val="single"/>
        </w:rPr>
        <w:t xml:space="preserve">               </w:t>
      </w:r>
    </w:p>
    <w:p/>
    <w:p>
      <w:r>
        <w:rPr>
          <w:rFonts w:hint="eastAsia"/>
        </w:rPr>
        <w:t>（从业人员、营业收入、资产总额上一年度数据，无上一年度数据的新成立企业可不填报）</w:t>
      </w:r>
    </w:p>
    <w:p>
      <w:pPr>
        <w:ind w:firstLine="422" w:firstLineChars="200"/>
        <w:rPr>
          <w:b/>
          <w:color w:val="FF0000"/>
        </w:rPr>
      </w:pPr>
    </w:p>
    <w:p>
      <w:pPr>
        <w:rPr>
          <w:rFonts w:ascii="宋体" w:hAnsi="宋体"/>
          <w:szCs w:val="21"/>
        </w:rPr>
      </w:pPr>
    </w:p>
    <w:p>
      <w:pPr>
        <w:wordWrap w:val="0"/>
        <w:ind w:right="420" w:firstLine="420" w:firstLineChars="200"/>
        <w:jc w:val="center"/>
        <w:rPr>
          <w:rFonts w:ascii="宋体" w:hAnsi="宋体"/>
          <w:szCs w:val="21"/>
        </w:rPr>
      </w:pPr>
      <w:r>
        <w:rPr>
          <w:rFonts w:hint="eastAsia" w:ascii="宋体" w:hAnsi="宋体"/>
          <w:szCs w:val="21"/>
        </w:rPr>
        <w:t xml:space="preserve">                                                  </w:t>
      </w:r>
    </w:p>
    <w:p>
      <w:pPr>
        <w:wordWrap w:val="0"/>
        <w:ind w:firstLine="420" w:firstLineChars="200"/>
        <w:jc w:val="right"/>
        <w:rPr>
          <w:rFonts w:ascii="宋体" w:hAnsi="宋体"/>
          <w:szCs w:val="21"/>
        </w:rPr>
      </w:pPr>
      <w:r>
        <w:rPr>
          <w:rFonts w:hint="eastAsia" w:ascii="宋体" w:hAnsi="宋体"/>
          <w:szCs w:val="21"/>
        </w:rPr>
        <w:t xml:space="preserve">             </w:t>
      </w:r>
    </w:p>
    <w:p>
      <w:pPr>
        <w:ind w:firstLine="420" w:firstLineChars="200"/>
        <w:jc w:val="right"/>
        <w:rPr>
          <w:rFonts w:ascii="宋体" w:hAnsi="宋体"/>
          <w:szCs w:val="21"/>
        </w:rPr>
      </w:pPr>
    </w:p>
    <w:p>
      <w:pPr>
        <w:jc w:val="center"/>
        <w:outlineLvl w:val="3"/>
        <w:rPr>
          <w:b/>
          <w:sz w:val="24"/>
        </w:rPr>
      </w:pPr>
      <w:r>
        <w:rPr>
          <w:rFonts w:hint="eastAsia"/>
          <w:b/>
          <w:sz w:val="24"/>
        </w:rPr>
        <w:t>2、残疾人福利性单位声明函</w:t>
      </w:r>
    </w:p>
    <w:p>
      <w:pPr>
        <w:rPr>
          <w:b/>
          <w:bCs/>
        </w:rPr>
      </w:pPr>
    </w:p>
    <w:p>
      <w:pPr>
        <w:ind w:firstLine="420" w:firstLineChars="200"/>
        <w:rPr>
          <w:rFonts w:ascii="宋体" w:hAnsi="宋体"/>
          <w:color w:val="FF0000"/>
          <w:szCs w:val="21"/>
        </w:rPr>
      </w:pPr>
      <w:r>
        <w:rPr>
          <w:rFonts w:hint="eastAsia" w:ascii="宋体" w:hAnsi="宋体"/>
          <w:szCs w:val="21"/>
        </w:rPr>
        <w:t>本单位郑重声明，根据</w:t>
      </w:r>
      <w:r>
        <w:rPr>
          <w:rFonts w:hint="eastAsia" w:ascii="宋体" w:hAnsi="宋体"/>
          <w:color w:val="FF0000"/>
          <w:szCs w:val="21"/>
        </w:rPr>
        <w:t>《关于促进残疾人就业政府采购政策的通知》</w:t>
      </w:r>
      <w:r>
        <w:rPr>
          <w:rFonts w:hint="eastAsia" w:ascii="宋体" w:hAnsi="宋体"/>
          <w:szCs w:val="21"/>
        </w:rPr>
        <w:t>（财库〔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号）的规定，本单位为符合条件的残疾人福利性单位，且本单位参加</w:t>
      </w:r>
      <w:r>
        <w:rPr>
          <w:rFonts w:ascii="宋体" w:hAnsi="宋体"/>
          <w:b/>
          <w:szCs w:val="21"/>
        </w:rPr>
        <w:t>_</w:t>
      </w:r>
      <w:r>
        <w:rPr>
          <w:rFonts w:hint="eastAsia" w:ascii="宋体" w:hAnsi="宋体"/>
          <w:b/>
          <w:szCs w:val="21"/>
        </w:rPr>
        <w:t>（采购单位名称）</w:t>
      </w:r>
      <w:r>
        <w:rPr>
          <w:rFonts w:ascii="宋体" w:hAnsi="宋体"/>
          <w:b/>
          <w:szCs w:val="21"/>
        </w:rPr>
        <w:t>_</w:t>
      </w:r>
      <w:r>
        <w:rPr>
          <w:rFonts w:hint="eastAsia" w:ascii="宋体" w:hAnsi="宋体"/>
          <w:szCs w:val="21"/>
        </w:rPr>
        <w:t>单位的</w:t>
      </w:r>
      <w:r>
        <w:rPr>
          <w:rFonts w:ascii="宋体" w:hAnsi="宋体"/>
          <w:b/>
          <w:szCs w:val="21"/>
        </w:rPr>
        <w:t>_</w:t>
      </w:r>
      <w:r>
        <w:rPr>
          <w:rFonts w:hint="eastAsia" w:ascii="宋体" w:hAnsi="宋体"/>
          <w:b/>
          <w:szCs w:val="21"/>
        </w:rPr>
        <w:t>（采购项目名称）</w:t>
      </w:r>
      <w:r>
        <w:rPr>
          <w:rFonts w:hint="eastAsia" w:ascii="宋体" w:hAnsi="宋体"/>
          <w:szCs w:val="21"/>
        </w:rPr>
        <w:t>项目采购活动，并提供</w:t>
      </w:r>
      <w:r>
        <w:rPr>
          <w:rFonts w:ascii="宋体" w:hAnsi="宋体"/>
          <w:szCs w:val="21"/>
        </w:rPr>
        <w:t>:</w:t>
      </w:r>
      <w:r>
        <w:rPr>
          <w:rFonts w:hint="eastAsia" w:ascii="宋体" w:hAnsi="宋体"/>
          <w:b/>
          <w:szCs w:val="21"/>
        </w:rPr>
        <w:t>□本单位制造的货物</w:t>
      </w:r>
      <w:r>
        <w:rPr>
          <w:rFonts w:ascii="宋体" w:hAnsi="宋体"/>
          <w:b/>
          <w:szCs w:val="21"/>
        </w:rPr>
        <w:t>;</w:t>
      </w:r>
      <w:r>
        <w:rPr>
          <w:rFonts w:hint="eastAsia" w:ascii="宋体" w:hAnsi="宋体"/>
          <w:b/>
          <w:szCs w:val="21"/>
        </w:rPr>
        <w:t>□提供其他残疾人福利性单位制造的货物（承诺人在□处打√）。</w:t>
      </w:r>
      <w:r>
        <w:rPr>
          <w:rFonts w:hint="eastAsia" w:ascii="宋体" w:hAnsi="宋体"/>
          <w:szCs w:val="21"/>
        </w:rPr>
        <w:t>本条所称货物是指单一产品采购项目中的货物，或者非单一产品采购项目中的核心产品（货物），不包括使用非残疾人福利性单位注册商标的货物。</w:t>
      </w:r>
      <w:r>
        <w:rPr>
          <w:rFonts w:hint="eastAsia" w:ascii="宋体" w:hAnsi="宋体"/>
          <w:color w:val="FF0000"/>
          <w:szCs w:val="21"/>
        </w:rPr>
        <w:t>本单位知悉《关于促进残疾人就业政府采购政策的通知》（财库〔2017〕141号）的规定，承诺提供的声明函内容是真实的，如提供声明函内容不实，则依法追究相关法律责任。</w:t>
      </w:r>
    </w:p>
    <w:p>
      <w:pPr>
        <w:ind w:firstLine="420" w:firstLineChars="200"/>
        <w:rPr>
          <w:rFonts w:ascii="宋体" w:hAnsi="宋体"/>
          <w:szCs w:val="21"/>
        </w:rPr>
      </w:pPr>
    </w:p>
    <w:p>
      <w:pPr>
        <w:ind w:right="840" w:firstLine="420" w:firstLineChars="200"/>
        <w:jc w:val="center"/>
        <w:rPr>
          <w:rFonts w:ascii="宋体" w:hAnsi="宋体"/>
          <w:szCs w:val="21"/>
        </w:rPr>
      </w:pPr>
      <w:r>
        <w:rPr>
          <w:rFonts w:hint="eastAsia" w:ascii="宋体" w:hAnsi="宋体"/>
          <w:szCs w:val="21"/>
        </w:rPr>
        <w:t xml:space="preserve">                                                       </w:t>
      </w:r>
    </w:p>
    <w:p>
      <w:pPr>
        <w:wordWrap w:val="0"/>
        <w:ind w:right="420" w:firstLine="420" w:firstLineChars="200"/>
        <w:jc w:val="center"/>
        <w:rPr>
          <w:rFonts w:ascii="宋体" w:hAnsi="宋体"/>
          <w:szCs w:val="21"/>
        </w:rPr>
      </w:pPr>
      <w:r>
        <w:rPr>
          <w:rFonts w:hint="eastAsia" w:ascii="宋体" w:hAnsi="宋体"/>
          <w:szCs w:val="21"/>
        </w:rPr>
        <w:t xml:space="preserve">                                                     </w:t>
      </w:r>
    </w:p>
    <w:p>
      <w:pPr>
        <w:ind w:firstLine="420" w:firstLineChars="200"/>
        <w:jc w:val="right"/>
        <w:rPr>
          <w:rFonts w:ascii="宋体" w:hAnsi="宋体"/>
          <w:szCs w:val="21"/>
        </w:rPr>
      </w:pPr>
    </w:p>
    <w:p>
      <w:pPr>
        <w:jc w:val="center"/>
        <w:outlineLvl w:val="3"/>
        <w:rPr>
          <w:b/>
          <w:sz w:val="24"/>
        </w:rPr>
      </w:pPr>
      <w:r>
        <w:rPr>
          <w:rFonts w:hint="eastAsia"/>
          <w:b/>
          <w:sz w:val="24"/>
        </w:rPr>
        <w:t>3、监狱企业声明函【监狱企业或者代理提供监狱企业货物的供应商如需享受优惠政策，还须同时提供省级以上监狱管理局、戒毒管理局（含新疆生产建设兵团）出具的监狱企业证明文件】</w:t>
      </w:r>
    </w:p>
    <w:p>
      <w:pPr>
        <w:ind w:firstLine="420" w:firstLineChars="200"/>
        <w:rPr>
          <w:rFonts w:ascii="宋体" w:hAnsi="宋体"/>
          <w:szCs w:val="21"/>
        </w:rPr>
      </w:pPr>
      <w:r>
        <w:rPr>
          <w:rFonts w:hint="eastAsia" w:ascii="宋体" w:hAnsi="宋体"/>
          <w:szCs w:val="21"/>
        </w:rPr>
        <w:t>本单位郑重声明，根据《财政部司法部关于政府采购支持监狱企业发展有关问题的通知》（财库〔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号）的规定，本单位为符合条件的监狱企业，且本单位参加</w:t>
      </w:r>
      <w:r>
        <w:rPr>
          <w:rFonts w:ascii="宋体" w:hAnsi="宋体"/>
          <w:b/>
          <w:szCs w:val="21"/>
        </w:rPr>
        <w:t>_</w:t>
      </w:r>
      <w:r>
        <w:rPr>
          <w:rFonts w:hint="eastAsia" w:ascii="宋体" w:hAnsi="宋体"/>
          <w:b/>
          <w:szCs w:val="21"/>
        </w:rPr>
        <w:t>（采购单位名称）</w:t>
      </w:r>
      <w:r>
        <w:rPr>
          <w:rFonts w:ascii="宋体" w:hAnsi="宋体"/>
          <w:b/>
          <w:szCs w:val="21"/>
        </w:rPr>
        <w:t>_</w:t>
      </w:r>
      <w:r>
        <w:rPr>
          <w:rFonts w:hint="eastAsia" w:ascii="宋体" w:hAnsi="宋体"/>
          <w:szCs w:val="21"/>
        </w:rPr>
        <w:t>单位的</w:t>
      </w:r>
      <w:r>
        <w:rPr>
          <w:rFonts w:hint="eastAsia" w:ascii="宋体" w:hAnsi="宋体"/>
          <w:b/>
          <w:szCs w:val="21"/>
        </w:rPr>
        <w:t>_（采购项目名称）_</w:t>
      </w:r>
      <w:r>
        <w:rPr>
          <w:rFonts w:hint="eastAsia" w:ascii="宋体" w:hAnsi="宋体"/>
          <w:szCs w:val="21"/>
        </w:rPr>
        <w:t>项目采购活动，并提供</w:t>
      </w:r>
      <w:r>
        <w:rPr>
          <w:rFonts w:ascii="宋体" w:hAnsi="宋体"/>
          <w:szCs w:val="21"/>
        </w:rPr>
        <w:t>:</w:t>
      </w:r>
      <w:r>
        <w:rPr>
          <w:rFonts w:hint="eastAsia" w:ascii="宋体" w:hAnsi="宋体"/>
          <w:b/>
          <w:szCs w:val="21"/>
        </w:rPr>
        <w:t>□本单位制造的货物</w:t>
      </w:r>
      <w:r>
        <w:rPr>
          <w:rFonts w:ascii="宋体" w:hAnsi="宋体"/>
          <w:b/>
          <w:szCs w:val="21"/>
        </w:rPr>
        <w:t>;</w:t>
      </w:r>
      <w:r>
        <w:rPr>
          <w:rFonts w:hint="eastAsia" w:ascii="宋体" w:hAnsi="宋体"/>
          <w:b/>
          <w:szCs w:val="21"/>
        </w:rPr>
        <w:t>□提供其他监狱企业制造的货物（承诺人在□处打√）</w:t>
      </w:r>
      <w:r>
        <w:rPr>
          <w:rFonts w:hint="eastAsia" w:ascii="宋体" w:hAnsi="宋体"/>
          <w:szCs w:val="21"/>
        </w:rPr>
        <w:t>。本条所称货物是指单一产品采购项目中的货物，或者非单一产品采购项目中的核心产品（货物）。</w:t>
      </w:r>
    </w:p>
    <w:p>
      <w:pPr>
        <w:ind w:firstLine="420" w:firstLineChars="200"/>
        <w:rPr>
          <w:rFonts w:ascii="宋体" w:hAnsi="宋体"/>
          <w:szCs w:val="21"/>
        </w:rPr>
      </w:pPr>
      <w:r>
        <w:rPr>
          <w:rFonts w:hint="eastAsia" w:ascii="宋体" w:hAnsi="宋体"/>
          <w:szCs w:val="21"/>
        </w:rPr>
        <w:t>本单位对上述声明的真实性负责。如有虚假，将依法承担相应责任。</w:t>
      </w:r>
    </w:p>
    <w:p>
      <w:pPr>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rPr>
          <w:sz w:val="24"/>
        </w:rPr>
      </w:pPr>
    </w:p>
    <w:p>
      <w:pPr>
        <w:ind w:firstLine="482" w:firstLineChars="200"/>
        <w:jc w:val="center"/>
        <w:outlineLvl w:val="3"/>
        <w:rPr>
          <w:b/>
          <w:sz w:val="24"/>
        </w:rPr>
      </w:pPr>
      <w:r>
        <w:rPr>
          <w:rFonts w:hint="eastAsia"/>
          <w:b/>
          <w:sz w:val="24"/>
        </w:rPr>
        <w:t>4、含有小型、微型企业的联合体声明函</w:t>
      </w:r>
    </w:p>
    <w:p>
      <w:pPr>
        <w:numPr>
          <w:ilvl w:val="0"/>
          <w:numId w:val="11"/>
        </w:numPr>
        <w:spacing w:after="120"/>
        <w:ind w:firstLine="420" w:firstLineChars="200"/>
      </w:pPr>
      <w:r>
        <w:rPr>
          <w:color w:val="FF0000"/>
        </w:rPr>
        <w:t>_</w:t>
      </w:r>
      <w:r>
        <w:rPr>
          <w:color w:val="FF0000"/>
          <w:u w:val="single"/>
        </w:rPr>
        <w:t>_</w:t>
      </w:r>
      <w:r>
        <w:rPr>
          <w:rFonts w:hint="eastAsia"/>
          <w:color w:val="FF0000"/>
          <w:u w:val="single"/>
        </w:rPr>
        <w:t>（供应商名称、供应商名称）</w:t>
      </w:r>
      <w:r>
        <w:rPr>
          <w:color w:val="FF0000"/>
          <w:u w:val="single"/>
        </w:rPr>
        <w:t>__</w:t>
      </w:r>
      <w:r>
        <w:rPr>
          <w:color w:val="FF0000"/>
        </w:rPr>
        <w:t>__</w:t>
      </w:r>
      <w:r>
        <w:rPr>
          <w:rFonts w:hint="eastAsia"/>
        </w:rPr>
        <w:t>共同组成联合体（详见联合体协议）。根据《工业和信息化部、国家统计局、国家发展和改革委员会、财政部关于印发中小企业划型标准规定的通知》（工信部联企业〔</w:t>
      </w:r>
      <w:r>
        <w:t>2011</w:t>
      </w:r>
      <w:r>
        <w:rPr>
          <w:rFonts w:hint="eastAsia"/>
        </w:rPr>
        <w:t>〕</w:t>
      </w:r>
      <w:r>
        <w:t xml:space="preserve">300 </w:t>
      </w:r>
      <w:r>
        <w:rPr>
          <w:rFonts w:hint="eastAsia"/>
        </w:rPr>
        <w:t>号）规定的划分标准，本联合体中：□</w:t>
      </w:r>
      <w:r>
        <w:rPr>
          <w:color w:val="FF0000"/>
        </w:rPr>
        <w:t>______</w:t>
      </w:r>
      <w:r>
        <w:rPr>
          <w:rFonts w:hint="eastAsia"/>
        </w:rPr>
        <w:t>单位为</w:t>
      </w:r>
      <w:r>
        <w:rPr>
          <w:color w:val="FF0000"/>
        </w:rPr>
        <w:t>______</w:t>
      </w:r>
      <w:r>
        <w:rPr>
          <w:rFonts w:hint="eastAsia"/>
        </w:rPr>
        <w:t>（请填写：中型、小型、微型）企业，</w:t>
      </w:r>
      <w:r>
        <w:rPr>
          <w:color w:val="FF0000"/>
        </w:rPr>
        <w:t>______</w:t>
      </w:r>
      <w:r>
        <w:rPr>
          <w:rFonts w:hint="eastAsia"/>
        </w:rPr>
        <w:t>单位为</w:t>
      </w:r>
      <w:r>
        <w:rPr>
          <w:color w:val="FF0000"/>
        </w:rPr>
        <w:t>______</w:t>
      </w:r>
      <w:r>
        <w:rPr>
          <w:rFonts w:hint="eastAsia"/>
        </w:rPr>
        <w:t>（请填写：中型、小型、微型）企业；□联合体各方均为小微企业</w:t>
      </w:r>
      <w:r>
        <w:rPr>
          <w:rFonts w:hint="eastAsia"/>
          <w:b/>
          <w:bCs/>
        </w:rPr>
        <w:t>（承诺人在□处打√）</w:t>
      </w:r>
      <w:r>
        <w:rPr>
          <w:rFonts w:hint="eastAsia"/>
        </w:rPr>
        <w:t>。</w:t>
      </w:r>
      <w:r>
        <w:t xml:space="preserve"> </w:t>
      </w:r>
    </w:p>
    <w:p>
      <w:pPr>
        <w:numPr>
          <w:ilvl w:val="0"/>
          <w:numId w:val="11"/>
        </w:numPr>
        <w:spacing w:after="120"/>
        <w:ind w:firstLine="420" w:firstLineChars="200"/>
      </w:pPr>
      <w:r>
        <w:rPr>
          <w:rFonts w:hint="eastAsia"/>
        </w:rPr>
        <w:t>本联合体参加</w:t>
      </w:r>
      <w:r>
        <w:rPr>
          <w:color w:val="FF0000"/>
          <w:u w:val="single"/>
        </w:rPr>
        <w:t>_</w:t>
      </w:r>
      <w:r>
        <w:rPr>
          <w:rFonts w:hint="eastAsia"/>
          <w:color w:val="FF0000"/>
          <w:u w:val="single"/>
        </w:rPr>
        <w:t>（采购单位名称）</w:t>
      </w:r>
      <w:r>
        <w:rPr>
          <w:color w:val="FF0000"/>
          <w:u w:val="single"/>
        </w:rPr>
        <w:t>_</w:t>
      </w:r>
      <w:r>
        <w:rPr>
          <w:rFonts w:hint="eastAsia"/>
        </w:rPr>
        <w:t>单位的</w:t>
      </w:r>
      <w:r>
        <w:rPr>
          <w:color w:val="FF0000"/>
          <w:u w:val="single"/>
        </w:rPr>
        <w:t>_</w:t>
      </w:r>
      <w:r>
        <w:rPr>
          <w:rFonts w:hint="eastAsia"/>
          <w:color w:val="FF0000"/>
          <w:u w:val="single"/>
        </w:rPr>
        <w:t>（采购项目名称）</w:t>
      </w:r>
      <w:r>
        <w:rPr>
          <w:color w:val="FF0000"/>
          <w:u w:val="single"/>
        </w:rPr>
        <w:t>_</w:t>
      </w:r>
      <w:r>
        <w:rPr>
          <w:rFonts w:hint="eastAsia"/>
        </w:rPr>
        <w:t>项目采购活动，其中，小型、微型企业协议合同金额占到联合体协议总金额比例为</w:t>
      </w:r>
      <w:r>
        <w:rPr>
          <w:color w:val="FF0000"/>
        </w:rPr>
        <w:t>_____</w:t>
      </w:r>
      <w:r>
        <w:t>%</w:t>
      </w:r>
      <w:r>
        <w:rPr>
          <w:rFonts w:hint="eastAsia"/>
        </w:rPr>
        <w:t>（该合同金额为：□小微企业制造的货物，□小微企业承担的工程、提供服务，□提供其他小微企业制造的货物；不包括使用大型企业注册商标的货物；请承诺人在□处打√），符合《政府采购促进中小企业发展管理办法》（财库〔</w:t>
      </w:r>
      <w:r>
        <w:t>2020</w:t>
      </w:r>
      <w:r>
        <w:rPr>
          <w:rFonts w:hint="eastAsia"/>
        </w:rPr>
        <w:t>〕</w:t>
      </w:r>
      <w:r>
        <w:t>46</w:t>
      </w:r>
      <w:r>
        <w:rPr>
          <w:rFonts w:hint="eastAsia"/>
        </w:rPr>
        <w:t>号）规定的优惠政策。</w:t>
      </w:r>
      <w:r>
        <w:t xml:space="preserve"> </w:t>
      </w:r>
    </w:p>
    <w:p>
      <w:pPr>
        <w:numPr>
          <w:ilvl w:val="0"/>
          <w:numId w:val="11"/>
        </w:numPr>
        <w:spacing w:after="120"/>
        <w:ind w:firstLine="420" w:firstLineChars="200"/>
      </w:pPr>
      <w:r>
        <w:rPr>
          <w:rFonts w:hint="eastAsia"/>
        </w:rPr>
        <w:t>本联合体对上述声明的真实性负责。如有虚假，将依法承担相应责任。</w:t>
      </w:r>
      <w:r>
        <w:t xml:space="preserve"> </w:t>
      </w:r>
    </w:p>
    <w:p>
      <w:pPr>
        <w:spacing w:after="120"/>
      </w:pPr>
    </w:p>
    <w:p>
      <w:pPr>
        <w:spacing w:after="120"/>
      </w:pPr>
      <w:r>
        <w:rPr>
          <w:rFonts w:hint="eastAsia"/>
        </w:rPr>
        <w:t>企业名称：</w:t>
      </w:r>
      <w:r>
        <w:t xml:space="preserve">                      </w:t>
      </w:r>
      <w:r>
        <w:rPr>
          <w:rFonts w:hint="eastAsia"/>
        </w:rPr>
        <w:t>企业名称：</w:t>
      </w:r>
      <w:r>
        <w:t xml:space="preserve"> </w:t>
      </w:r>
    </w:p>
    <w:p>
      <w:pPr>
        <w:spacing w:after="120"/>
      </w:pPr>
      <w:r>
        <w:rPr>
          <w:rFonts w:hint="eastAsia"/>
        </w:rPr>
        <w:t>日</w:t>
      </w:r>
      <w:r>
        <w:t xml:space="preserve"> </w:t>
      </w:r>
      <w:r>
        <w:rPr>
          <w:rFonts w:hint="eastAsia"/>
        </w:rPr>
        <w:t>期：</w:t>
      </w:r>
      <w:r>
        <w:t xml:space="preserve">                          </w:t>
      </w:r>
      <w:r>
        <w:rPr>
          <w:rFonts w:hint="eastAsia"/>
        </w:rPr>
        <w:t>日期：</w:t>
      </w:r>
      <w:r>
        <w:t xml:space="preserve">             </w:t>
      </w:r>
    </w:p>
    <w:p>
      <w:pPr>
        <w:spacing w:after="120"/>
      </w:pPr>
      <w:r>
        <w:rPr>
          <w:rFonts w:hint="eastAsia"/>
        </w:rPr>
        <w:t>企业名称：</w:t>
      </w:r>
      <w:r>
        <w:t xml:space="preserve">    </w:t>
      </w:r>
    </w:p>
    <w:p>
      <w:pPr>
        <w:spacing w:after="120"/>
      </w:pPr>
      <w:r>
        <w:rPr>
          <w:rFonts w:hint="eastAsia"/>
        </w:rPr>
        <w:t>日</w:t>
      </w:r>
      <w:r>
        <w:t xml:space="preserve"> </w:t>
      </w:r>
      <w:r>
        <w:rPr>
          <w:rFonts w:hint="eastAsia"/>
        </w:rPr>
        <w:t>期：</w:t>
      </w:r>
    </w:p>
    <w:bookmarkEnd w:id="30"/>
    <w:p>
      <w:pPr>
        <w:outlineLvl w:val="3"/>
        <w:rPr>
          <w:b/>
          <w:sz w:val="24"/>
        </w:rPr>
      </w:pPr>
    </w:p>
    <w:p>
      <w:pPr>
        <w:outlineLvl w:val="3"/>
        <w:rPr>
          <w:b/>
          <w:sz w:val="24"/>
        </w:rPr>
      </w:pPr>
      <w:r>
        <w:rPr>
          <w:rFonts w:hint="eastAsia"/>
          <w:b/>
          <w:sz w:val="24"/>
        </w:rPr>
        <w:t>（四）投标人认为需提供的其他证明文件</w:t>
      </w:r>
    </w:p>
    <w:p>
      <w:pPr>
        <w:rPr>
          <w:b/>
          <w:bCs/>
          <w:color w:val="FF0000"/>
          <w:sz w:val="24"/>
        </w:rPr>
      </w:pPr>
    </w:p>
    <w:p>
      <w:pPr>
        <w:widowControl/>
        <w:jc w:val="left"/>
        <w:rPr>
          <w:b/>
          <w:bCs/>
        </w:rPr>
      </w:pPr>
      <w:r>
        <w:rPr>
          <w:b/>
          <w:bCs/>
        </w:rPr>
        <w:br w:type="page"/>
      </w:r>
    </w:p>
    <w:p>
      <w:pPr>
        <w:rPr>
          <w:b/>
          <w:bCs/>
        </w:rPr>
      </w:pPr>
    </w:p>
    <w:p>
      <w:pPr>
        <w:pStyle w:val="3"/>
        <w:jc w:val="center"/>
        <w:rPr>
          <w:b w:val="0"/>
          <w:sz w:val="24"/>
          <w:szCs w:val="24"/>
        </w:rPr>
      </w:pPr>
      <w:r>
        <w:rPr>
          <w:rFonts w:hint="eastAsia" w:ascii="黑体" w:eastAsia="黑体"/>
          <w:b w:val="0"/>
          <w:sz w:val="24"/>
          <w:szCs w:val="24"/>
        </w:rPr>
        <w:t>五、货物说明一览表</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260"/>
        <w:gridCol w:w="126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sz w:val="24"/>
              </w:rPr>
            </w:pPr>
            <w:r>
              <w:rPr>
                <w:rFonts w:hint="eastAsia"/>
                <w:sz w:val="24"/>
              </w:rPr>
              <w:t>序号</w:t>
            </w:r>
          </w:p>
        </w:tc>
        <w:tc>
          <w:tcPr>
            <w:tcW w:w="1620" w:type="dxa"/>
          </w:tcPr>
          <w:p>
            <w:pPr>
              <w:jc w:val="center"/>
              <w:rPr>
                <w:sz w:val="24"/>
              </w:rPr>
            </w:pPr>
            <w:r>
              <w:rPr>
                <w:rFonts w:hint="eastAsia"/>
                <w:sz w:val="24"/>
              </w:rPr>
              <w:t>货物名称</w:t>
            </w:r>
          </w:p>
        </w:tc>
        <w:tc>
          <w:tcPr>
            <w:tcW w:w="1260" w:type="dxa"/>
          </w:tcPr>
          <w:p>
            <w:pPr>
              <w:jc w:val="center"/>
              <w:rPr>
                <w:sz w:val="24"/>
              </w:rPr>
            </w:pPr>
            <w:r>
              <w:rPr>
                <w:rFonts w:hint="eastAsia"/>
                <w:sz w:val="24"/>
              </w:rPr>
              <w:t>型号</w:t>
            </w:r>
          </w:p>
        </w:tc>
        <w:tc>
          <w:tcPr>
            <w:tcW w:w="1260" w:type="dxa"/>
          </w:tcPr>
          <w:p>
            <w:pPr>
              <w:jc w:val="center"/>
              <w:rPr>
                <w:sz w:val="24"/>
              </w:rPr>
            </w:pPr>
            <w:r>
              <w:rPr>
                <w:rFonts w:hint="eastAsia"/>
                <w:sz w:val="24"/>
              </w:rPr>
              <w:t>数量</w:t>
            </w:r>
          </w:p>
        </w:tc>
        <w:tc>
          <w:tcPr>
            <w:tcW w:w="1440" w:type="dxa"/>
          </w:tcPr>
          <w:p>
            <w:pPr>
              <w:jc w:val="center"/>
              <w:rPr>
                <w:sz w:val="24"/>
              </w:rPr>
            </w:pPr>
            <w:r>
              <w:rPr>
                <w:rFonts w:hint="eastAsia"/>
                <w:sz w:val="24"/>
              </w:rPr>
              <w:t>单位</w:t>
            </w:r>
          </w:p>
        </w:tc>
        <w:tc>
          <w:tcPr>
            <w:tcW w:w="1440" w:type="dxa"/>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bl>
    <w:p>
      <w:pPr>
        <w:rPr>
          <w:sz w:val="24"/>
        </w:rPr>
      </w:pPr>
    </w:p>
    <w:p>
      <w:pPr>
        <w:rPr>
          <w:sz w:val="24"/>
        </w:rPr>
      </w:pPr>
    </w:p>
    <w:p>
      <w:pPr>
        <w:rPr>
          <w:sz w:val="24"/>
        </w:rPr>
      </w:pPr>
    </w:p>
    <w:p>
      <w:pPr>
        <w:pStyle w:val="3"/>
        <w:jc w:val="center"/>
        <w:rPr>
          <w:rFonts w:ascii="黑体" w:eastAsia="黑体"/>
          <w:b w:val="0"/>
          <w:sz w:val="24"/>
          <w:szCs w:val="24"/>
        </w:rPr>
      </w:pPr>
      <w:r>
        <w:rPr>
          <w:rFonts w:hint="eastAsia" w:ascii="黑体" w:eastAsia="黑体"/>
          <w:b w:val="0"/>
          <w:sz w:val="24"/>
          <w:szCs w:val="24"/>
        </w:rPr>
        <w:t>六、技术规格偏离表</w:t>
      </w:r>
    </w:p>
    <w:tbl>
      <w:tblPr>
        <w:tblStyle w:val="43"/>
        <w:tblW w:w="9919"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088"/>
        <w:gridCol w:w="3150"/>
        <w:gridCol w:w="3145"/>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 w:val="20"/>
                <w:szCs w:val="20"/>
              </w:rPr>
            </w:pPr>
            <w:r>
              <w:rPr>
                <w:rFonts w:hint="eastAsia" w:ascii="宋体" w:hAnsi="宋体"/>
                <w:sz w:val="20"/>
                <w:szCs w:val="20"/>
              </w:rPr>
              <w:t>序号</w:t>
            </w:r>
          </w:p>
        </w:tc>
        <w:tc>
          <w:tcPr>
            <w:tcW w:w="1088" w:type="dxa"/>
            <w:tcBorders>
              <w:top w:val="single" w:color="auto" w:sz="4" w:space="0"/>
              <w:left w:val="nil"/>
              <w:bottom w:val="single" w:color="auto" w:sz="4" w:space="0"/>
              <w:right w:val="single" w:color="auto" w:sz="4" w:space="0"/>
            </w:tcBorders>
            <w:vAlign w:val="center"/>
          </w:tcPr>
          <w:p>
            <w:pPr>
              <w:widowControl/>
              <w:jc w:val="center"/>
              <w:rPr>
                <w:rFonts w:ascii="宋体" w:hAnsi="宋体" w:cs="Calibri"/>
                <w:sz w:val="20"/>
                <w:szCs w:val="20"/>
              </w:rPr>
            </w:pPr>
            <w:r>
              <w:rPr>
                <w:rFonts w:hint="eastAsia" w:ascii="宋体" w:hAnsi="宋体"/>
                <w:sz w:val="20"/>
                <w:szCs w:val="20"/>
              </w:rPr>
              <w:t>货物名称</w:t>
            </w:r>
          </w:p>
        </w:tc>
        <w:tc>
          <w:tcPr>
            <w:tcW w:w="3150" w:type="dxa"/>
            <w:tcBorders>
              <w:top w:val="single" w:color="auto" w:sz="4" w:space="0"/>
              <w:left w:val="nil"/>
              <w:bottom w:val="single" w:color="auto" w:sz="4" w:space="0"/>
              <w:right w:val="single" w:color="auto" w:sz="4" w:space="0"/>
            </w:tcBorders>
            <w:vAlign w:val="center"/>
          </w:tcPr>
          <w:p>
            <w:pPr>
              <w:jc w:val="center"/>
              <w:rPr>
                <w:rFonts w:ascii="宋体" w:hAnsi="宋体" w:cs="Calibri"/>
                <w:sz w:val="20"/>
                <w:szCs w:val="20"/>
              </w:rPr>
            </w:pPr>
            <w:r>
              <w:rPr>
                <w:rFonts w:hint="eastAsia" w:ascii="宋体" w:hAnsi="宋体"/>
                <w:sz w:val="20"/>
                <w:szCs w:val="20"/>
              </w:rPr>
              <w:t>招标技术要求</w:t>
            </w:r>
          </w:p>
        </w:tc>
        <w:tc>
          <w:tcPr>
            <w:tcW w:w="3145" w:type="dxa"/>
            <w:tcBorders>
              <w:top w:val="single" w:color="auto" w:sz="4" w:space="0"/>
              <w:left w:val="nil"/>
              <w:bottom w:val="single" w:color="auto" w:sz="4" w:space="0"/>
              <w:right w:val="single" w:color="auto" w:sz="4" w:space="0"/>
            </w:tcBorders>
            <w:vAlign w:val="center"/>
          </w:tcPr>
          <w:p>
            <w:pPr>
              <w:jc w:val="center"/>
              <w:rPr>
                <w:rFonts w:ascii="宋体" w:hAnsi="宋体" w:cs="Calibri"/>
                <w:sz w:val="20"/>
                <w:szCs w:val="20"/>
              </w:rPr>
            </w:pPr>
            <w:r>
              <w:rPr>
                <w:rFonts w:hint="eastAsia"/>
              </w:rPr>
              <w:t>投标技术响应</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Calibri"/>
                <w:sz w:val="20"/>
                <w:szCs w:val="20"/>
              </w:rPr>
            </w:pPr>
            <w:r>
              <w:rPr>
                <w:rFonts w:hint="eastAsia"/>
              </w:rPr>
              <w:t>偏离情况</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Calibri"/>
                <w:sz w:val="20"/>
                <w:szCs w:val="20"/>
              </w:rP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Calibri"/>
                <w:b/>
                <w:sz w:val="20"/>
                <w:szCs w:val="20"/>
              </w:rPr>
            </w:pPr>
            <w:r>
              <w:rPr>
                <w:rFonts w:hint="eastAsia" w:ascii="宋体" w:hAnsi="宋体"/>
                <w:b/>
                <w:sz w:val="20"/>
                <w:szCs w:val="20"/>
              </w:rPr>
              <w:t>1</w:t>
            </w:r>
          </w:p>
        </w:tc>
        <w:tc>
          <w:tcPr>
            <w:tcW w:w="1088" w:type="dxa"/>
            <w:vMerge w:val="restart"/>
            <w:tcBorders>
              <w:top w:val="nil"/>
              <w:left w:val="nil"/>
              <w:bottom w:val="single" w:color="auto" w:sz="4" w:space="0"/>
              <w:right w:val="single" w:color="auto" w:sz="4" w:space="0"/>
            </w:tcBorders>
            <w:vAlign w:val="center"/>
          </w:tcPr>
          <w:p>
            <w:pPr>
              <w:jc w:val="center"/>
              <w:rPr>
                <w:rFonts w:ascii="宋体" w:hAnsi="宋体" w:cs="Calibri"/>
                <w:b/>
                <w:sz w:val="20"/>
                <w:szCs w:val="20"/>
              </w:rPr>
            </w:pPr>
            <w:r>
              <w:rPr>
                <w:rFonts w:hint="eastAsia" w:ascii="宋体" w:hAnsi="宋体"/>
                <w:sz w:val="20"/>
                <w:szCs w:val="20"/>
              </w:rPr>
              <w:t>60岁及以上老年人流感疫苗</w:t>
            </w:r>
          </w:p>
        </w:tc>
        <w:tc>
          <w:tcPr>
            <w:tcW w:w="3150"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r>
              <w:rPr>
                <w:rFonts w:hint="eastAsia" w:ascii="宋体" w:hAnsi="宋体"/>
                <w:b/>
                <w:sz w:val="20"/>
                <w:szCs w:val="20"/>
              </w:rPr>
              <w:t>1.1</w:t>
            </w:r>
            <w:r>
              <w:rPr>
                <w:rFonts w:hint="eastAsia" w:ascii="宋体" w:hAnsi="宋体"/>
                <w:sz w:val="20"/>
                <w:szCs w:val="20"/>
              </w:rPr>
              <w:t xml:space="preserve">投标产品剂型：液体注射剂，包装：预填充注射器装，规格：每瓶0.5ml/支，每1次人用剂量0.5ml。 </w:t>
            </w:r>
          </w:p>
        </w:tc>
        <w:tc>
          <w:tcPr>
            <w:tcW w:w="3145"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1134"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b/>
                <w:sz w:val="20"/>
                <w:szCs w:val="20"/>
              </w:rPr>
            </w:pPr>
          </w:p>
        </w:tc>
        <w:tc>
          <w:tcPr>
            <w:tcW w:w="1088" w:type="dxa"/>
            <w:vMerge w:val="continue"/>
            <w:tcBorders>
              <w:top w:val="nil"/>
              <w:left w:val="nil"/>
              <w:bottom w:val="single" w:color="auto" w:sz="4" w:space="0"/>
              <w:right w:val="single" w:color="auto" w:sz="4" w:space="0"/>
            </w:tcBorders>
            <w:vAlign w:val="center"/>
          </w:tcPr>
          <w:p>
            <w:pPr>
              <w:widowControl/>
              <w:jc w:val="left"/>
              <w:rPr>
                <w:rFonts w:ascii="宋体" w:hAnsi="宋体" w:cs="Calibri"/>
                <w:b/>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r>
              <w:rPr>
                <w:rFonts w:hint="eastAsia" w:ascii="宋体" w:hAnsi="宋体"/>
                <w:sz w:val="20"/>
                <w:szCs w:val="20"/>
              </w:rPr>
              <w:t>▲1.2投标产品质量符合《中华人民共和国药典（2020年版）》的标准。</w:t>
            </w:r>
          </w:p>
        </w:tc>
        <w:tc>
          <w:tcPr>
            <w:tcW w:w="3145" w:type="dxa"/>
            <w:tcBorders>
              <w:top w:val="single" w:color="auto" w:sz="4" w:space="0"/>
              <w:left w:val="nil"/>
              <w:bottom w:val="single" w:color="auto" w:sz="4" w:space="0"/>
              <w:right w:val="single" w:color="auto" w:sz="4" w:space="0"/>
            </w:tcBorders>
            <w:vAlign w:val="center"/>
          </w:tcPr>
          <w:p>
            <w:pPr>
              <w:rPr>
                <w:rFonts w:ascii="宋体" w:hAnsi="宋体" w:cs="Calibri"/>
                <w:sz w:val="20"/>
                <w:szCs w:val="20"/>
              </w:rPr>
            </w:pPr>
          </w:p>
        </w:tc>
        <w:tc>
          <w:tcPr>
            <w:tcW w:w="1134" w:type="dxa"/>
            <w:tcBorders>
              <w:top w:val="single" w:color="auto" w:sz="4" w:space="0"/>
              <w:left w:val="nil"/>
              <w:bottom w:val="single" w:color="auto" w:sz="4" w:space="0"/>
              <w:right w:val="single" w:color="auto" w:sz="4" w:space="0"/>
            </w:tcBorders>
            <w:vAlign w:val="center"/>
          </w:tcPr>
          <w:p>
            <w:pPr>
              <w:rPr>
                <w:rFonts w:ascii="宋体" w:hAnsi="宋体" w:cs="Calibri"/>
                <w:sz w:val="20"/>
                <w:szCs w:val="20"/>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b/>
                <w:sz w:val="20"/>
                <w:szCs w:val="20"/>
              </w:rPr>
            </w:pPr>
          </w:p>
        </w:tc>
        <w:tc>
          <w:tcPr>
            <w:tcW w:w="1088" w:type="dxa"/>
            <w:vMerge w:val="continue"/>
            <w:tcBorders>
              <w:top w:val="nil"/>
              <w:left w:val="nil"/>
              <w:bottom w:val="single" w:color="auto" w:sz="4" w:space="0"/>
              <w:right w:val="single" w:color="auto" w:sz="4" w:space="0"/>
            </w:tcBorders>
            <w:vAlign w:val="center"/>
          </w:tcPr>
          <w:p>
            <w:pPr>
              <w:widowControl/>
              <w:jc w:val="left"/>
              <w:rPr>
                <w:rFonts w:ascii="宋体" w:hAnsi="宋体" w:cs="Calibri"/>
                <w:b/>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hAnsi="宋体" w:cs="Calibri"/>
                <w:b/>
                <w:color w:val="FF0000"/>
                <w:sz w:val="20"/>
                <w:szCs w:val="20"/>
              </w:rPr>
            </w:pPr>
            <w:r>
              <w:rPr>
                <w:rFonts w:hint="eastAsia" w:ascii="宋体" w:hAnsi="宋体"/>
                <w:b/>
                <w:color w:val="FF0000"/>
                <w:sz w:val="20"/>
                <w:szCs w:val="20"/>
              </w:rPr>
              <w:t xml:space="preserve">1.3投标人需提供投标产品上市后安全性、免疫效果和流行病学效果评价的相关研究文献扫描件，原件备查。 </w:t>
            </w:r>
          </w:p>
        </w:tc>
        <w:tc>
          <w:tcPr>
            <w:tcW w:w="3145" w:type="dxa"/>
            <w:tcBorders>
              <w:top w:val="single" w:color="auto" w:sz="4" w:space="0"/>
              <w:left w:val="nil"/>
              <w:bottom w:val="single" w:color="auto" w:sz="4" w:space="0"/>
              <w:right w:val="single" w:color="auto" w:sz="4" w:space="0"/>
            </w:tcBorders>
            <w:vAlign w:val="center"/>
          </w:tcPr>
          <w:p>
            <w:pPr>
              <w:rPr>
                <w:rFonts w:ascii="宋体" w:hAnsi="宋体" w:cs="Calibri"/>
                <w:b/>
                <w:color w:val="FF0000"/>
                <w:sz w:val="20"/>
                <w:szCs w:val="20"/>
              </w:rPr>
            </w:pPr>
          </w:p>
        </w:tc>
        <w:tc>
          <w:tcPr>
            <w:tcW w:w="1134" w:type="dxa"/>
            <w:tcBorders>
              <w:top w:val="single" w:color="auto" w:sz="4" w:space="0"/>
              <w:left w:val="nil"/>
              <w:bottom w:val="single" w:color="auto" w:sz="4" w:space="0"/>
              <w:right w:val="single" w:color="auto" w:sz="4" w:space="0"/>
            </w:tcBorders>
            <w:vAlign w:val="center"/>
          </w:tcPr>
          <w:p>
            <w:pPr>
              <w:rPr>
                <w:rFonts w:ascii="宋体" w:hAnsi="宋体" w:cs="Calibri"/>
                <w:b/>
                <w:color w:val="FF0000"/>
                <w:sz w:val="20"/>
                <w:szCs w:val="20"/>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b/>
                <w:sz w:val="20"/>
                <w:szCs w:val="20"/>
              </w:rPr>
            </w:pPr>
          </w:p>
        </w:tc>
        <w:tc>
          <w:tcPr>
            <w:tcW w:w="1088" w:type="dxa"/>
            <w:vMerge w:val="continue"/>
            <w:tcBorders>
              <w:top w:val="nil"/>
              <w:left w:val="nil"/>
              <w:bottom w:val="single" w:color="auto" w:sz="4" w:space="0"/>
              <w:right w:val="single" w:color="auto" w:sz="4" w:space="0"/>
            </w:tcBorders>
            <w:vAlign w:val="center"/>
          </w:tcPr>
          <w:p>
            <w:pPr>
              <w:widowControl/>
              <w:jc w:val="left"/>
              <w:rPr>
                <w:rFonts w:ascii="宋体" w:hAnsi="宋体" w:cs="Calibri"/>
                <w:b/>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hAnsi="宋体" w:cs="Calibri"/>
                <w:b/>
                <w:color w:val="FF0000"/>
                <w:sz w:val="20"/>
                <w:szCs w:val="20"/>
              </w:rPr>
            </w:pPr>
            <w:r>
              <w:rPr>
                <w:rFonts w:hint="eastAsia" w:ascii="宋体" w:hAnsi="宋体"/>
                <w:b/>
                <w:sz w:val="20"/>
                <w:szCs w:val="20"/>
              </w:rPr>
              <w:t>▲</w:t>
            </w:r>
            <w:r>
              <w:rPr>
                <w:rFonts w:hint="eastAsia" w:ascii="宋体" w:hAnsi="宋体"/>
                <w:b/>
                <w:color w:val="FF0000"/>
                <w:sz w:val="20"/>
                <w:szCs w:val="20"/>
              </w:rPr>
              <w:t>1.4投标企业具有完善的不良反应监测制度，并提供预防接种异常反应监测数据和分析报告</w:t>
            </w:r>
            <w:r>
              <w:rPr>
                <w:rFonts w:hint="eastAsia" w:ascii="宋体" w:hAnsi="宋体"/>
                <w:b/>
                <w:color w:val="FF0000"/>
                <w:sz w:val="20"/>
                <w:szCs w:val="20"/>
                <w:highlight w:val="yellow"/>
              </w:rPr>
              <w:t>或</w:t>
            </w:r>
            <w:r>
              <w:rPr>
                <w:rFonts w:hint="eastAsia" w:ascii="宋体" w:hAnsi="宋体"/>
                <w:b/>
                <w:color w:val="FF0000"/>
                <w:sz w:val="20"/>
                <w:szCs w:val="20"/>
              </w:rPr>
              <w:t xml:space="preserve">参与免疫接种异常反应处理情况报告扫描件（至少提供3份），原件备查。 </w:t>
            </w:r>
          </w:p>
        </w:tc>
        <w:tc>
          <w:tcPr>
            <w:tcW w:w="3145"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1134"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b/>
                <w:sz w:val="20"/>
                <w:szCs w:val="20"/>
              </w:rPr>
            </w:pPr>
          </w:p>
        </w:tc>
        <w:tc>
          <w:tcPr>
            <w:tcW w:w="1088" w:type="dxa"/>
            <w:vMerge w:val="continue"/>
            <w:tcBorders>
              <w:top w:val="nil"/>
              <w:left w:val="nil"/>
              <w:bottom w:val="single" w:color="auto" w:sz="4" w:space="0"/>
              <w:right w:val="single" w:color="auto" w:sz="4" w:space="0"/>
            </w:tcBorders>
            <w:vAlign w:val="center"/>
          </w:tcPr>
          <w:p>
            <w:pPr>
              <w:widowControl/>
              <w:jc w:val="left"/>
              <w:rPr>
                <w:rFonts w:ascii="宋体" w:hAnsi="宋体" w:cs="Calibri"/>
                <w:b/>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r>
              <w:rPr>
                <w:rFonts w:hint="eastAsia" w:ascii="宋体" w:hAnsi="宋体"/>
                <w:b/>
                <w:sz w:val="20"/>
                <w:szCs w:val="20"/>
              </w:rPr>
              <w:t>1.5</w:t>
            </w:r>
            <w:r>
              <w:rPr>
                <w:rFonts w:hint="eastAsia" w:ascii="宋体" w:hAnsi="宋体"/>
                <w:sz w:val="20"/>
                <w:szCs w:val="20"/>
              </w:rPr>
              <w:t xml:space="preserve">投标人应提供技术成熟的符合用户需求的新型免疫规划疫苗，并确保其完整性和可靠性。 </w:t>
            </w:r>
          </w:p>
        </w:tc>
        <w:tc>
          <w:tcPr>
            <w:tcW w:w="3145"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1134"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b/>
                <w:sz w:val="20"/>
                <w:szCs w:val="20"/>
              </w:rPr>
            </w:pPr>
          </w:p>
        </w:tc>
        <w:tc>
          <w:tcPr>
            <w:tcW w:w="1088" w:type="dxa"/>
            <w:vMerge w:val="continue"/>
            <w:tcBorders>
              <w:top w:val="nil"/>
              <w:left w:val="nil"/>
              <w:bottom w:val="single" w:color="auto" w:sz="4" w:space="0"/>
              <w:right w:val="single" w:color="auto" w:sz="4" w:space="0"/>
            </w:tcBorders>
            <w:vAlign w:val="center"/>
          </w:tcPr>
          <w:p>
            <w:pPr>
              <w:widowControl/>
              <w:jc w:val="left"/>
              <w:rPr>
                <w:rFonts w:ascii="宋体" w:hAnsi="宋体" w:cs="Calibri"/>
                <w:b/>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hAnsi="宋体" w:cs="Calibri"/>
                <w:b/>
                <w:color w:val="FF0000"/>
                <w:sz w:val="20"/>
                <w:szCs w:val="20"/>
              </w:rPr>
            </w:pPr>
            <w:r>
              <w:rPr>
                <w:rFonts w:hint="eastAsia" w:ascii="宋体" w:hAnsi="宋体"/>
                <w:b/>
                <w:sz w:val="20"/>
                <w:szCs w:val="20"/>
              </w:rPr>
              <w:t>▲</w:t>
            </w:r>
            <w:r>
              <w:rPr>
                <w:rFonts w:hint="eastAsia" w:ascii="宋体" w:hAnsi="宋体"/>
                <w:b/>
                <w:color w:val="FF0000"/>
                <w:sz w:val="20"/>
                <w:szCs w:val="20"/>
              </w:rPr>
              <w:t>1.6投标人需提供二类疫苗基础保险合同扫描件，原件备查。</w:t>
            </w:r>
          </w:p>
        </w:tc>
        <w:tc>
          <w:tcPr>
            <w:tcW w:w="3145"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1134"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b/>
                <w:sz w:val="20"/>
                <w:szCs w:val="20"/>
              </w:rPr>
            </w:pPr>
          </w:p>
        </w:tc>
      </w:tr>
    </w:tbl>
    <w:p>
      <w:pPr>
        <w:rPr>
          <w:sz w:val="24"/>
        </w:rPr>
      </w:pPr>
      <w:r>
        <w:rPr>
          <w:rFonts w:hint="eastAsia"/>
          <w:sz w:val="24"/>
        </w:rPr>
        <w:t>备注：</w:t>
      </w:r>
    </w:p>
    <w:p>
      <w:pPr>
        <w:rPr>
          <w:color w:val="FF0000"/>
          <w:sz w:val="24"/>
        </w:rPr>
      </w:pPr>
      <w:r>
        <w:rPr>
          <w:rFonts w:hint="eastAsia"/>
          <w:color w:val="FF0000"/>
          <w:sz w:val="24"/>
        </w:rPr>
        <w:t>1、“招标技术要求”一栏应</w:t>
      </w:r>
      <w:r>
        <w:rPr>
          <w:rFonts w:hint="eastAsia"/>
          <w:b/>
          <w:color w:val="FF0000"/>
          <w:sz w:val="24"/>
        </w:rPr>
        <w:t>填写招标文件第二章</w:t>
      </w:r>
      <w:r>
        <w:rPr>
          <w:rFonts w:hint="eastAsia"/>
          <w:color w:val="FF0000"/>
          <w:sz w:val="24"/>
        </w:rPr>
        <w:t>“具体技术要求”的内容；</w:t>
      </w:r>
    </w:p>
    <w:p>
      <w:pPr>
        <w:rPr>
          <w:color w:val="FF0000"/>
          <w:sz w:val="24"/>
        </w:rPr>
      </w:pPr>
      <w:r>
        <w:rPr>
          <w:rFonts w:hint="eastAsia"/>
          <w:color w:val="FF0000"/>
          <w:sz w:val="24"/>
        </w:rPr>
        <w:t>2、“投标技术响应”一栏必须详细填写投标产品的具体参数，并应对照招标技术要求一一对应响应；</w:t>
      </w:r>
    </w:p>
    <w:p>
      <w:pPr>
        <w:rPr>
          <w:color w:val="FF0000"/>
          <w:sz w:val="24"/>
        </w:rPr>
      </w:pPr>
      <w:r>
        <w:rPr>
          <w:rFonts w:hint="eastAsia"/>
          <w:color w:val="FF0000"/>
          <w:sz w:val="24"/>
        </w:rPr>
        <w:t>3、“偏离情况”一栏应如实填写“正偏离”、“负偏离”或“无偏离”。</w:t>
      </w:r>
    </w:p>
    <w:p>
      <w:pPr>
        <w:rPr>
          <w:color w:val="FF0000"/>
          <w:sz w:val="24"/>
        </w:rPr>
      </w:pPr>
      <w:r>
        <w:rPr>
          <w:rFonts w:hint="eastAsia"/>
          <w:color w:val="FF0000"/>
          <w:sz w:val="24"/>
        </w:rPr>
        <w:t>4、投标人在《技术规格偏离表》填写的“投标技术响应”与《具体技术要求》的“招标技术要求”存在填写不全的情况，将被视为未实质性满足招标文件要求作投标无效处理。示例，“招标技术要求”共有10项参数，投标人只响应了9项，填写不全，则视为未实质性满足招标文件要求作投标无效处理。</w:t>
      </w:r>
    </w:p>
    <w:p>
      <w:pPr>
        <w:rPr>
          <w:color w:val="FF0000"/>
          <w:sz w:val="24"/>
        </w:rPr>
      </w:pPr>
      <w:r>
        <w:rPr>
          <w:rFonts w:hint="eastAsia"/>
          <w:color w:val="FF0000"/>
          <w:sz w:val="24"/>
        </w:rPr>
        <w:t>5、投标人所填写的“偏离情况”与评审委员会判定不一致时</w:t>
      </w:r>
      <w:r>
        <w:rPr>
          <w:rFonts w:hint="eastAsia"/>
          <w:b/>
          <w:color w:val="FF0000"/>
          <w:sz w:val="24"/>
        </w:rPr>
        <w:t>，以评审委员会意见为主。另，判定结果不一致的参数超过一定数量的，则评分项“技术偏离情况”将不得分（即计为0分）。</w:t>
      </w:r>
    </w:p>
    <w:p>
      <w:pPr>
        <w:rPr>
          <w:color w:val="FF0000"/>
          <w:sz w:val="24"/>
        </w:rPr>
      </w:pPr>
      <w:r>
        <w:rPr>
          <w:rFonts w:hint="eastAsia"/>
          <w:b/>
          <w:color w:val="FF0000"/>
          <w:sz w:val="24"/>
        </w:rPr>
        <w:t>一定数量的设置：</w:t>
      </w:r>
      <w:r>
        <w:rPr>
          <w:rFonts w:hint="eastAsia"/>
          <w:color w:val="FF0000"/>
          <w:sz w:val="24"/>
        </w:rPr>
        <w:t>（1）《具体技术要求》全部参数数量10%（四舍五入取整数）不足3条的，以3条为标准；</w:t>
      </w:r>
      <w:r>
        <w:rPr>
          <w:rFonts w:hint="eastAsia"/>
          <w:color w:val="FF0000"/>
          <w:sz w:val="24"/>
          <w:highlight w:val="yellow"/>
        </w:rPr>
        <w:t>此种情形下投标人所填写的“偏离情况”与评审委员会判定不一致数量超过3条的（不含本数3），则评分项“技术偏离情况”计为0分，数量在3条以内（含本数3）的，则按照扣分处理；</w:t>
      </w:r>
      <w:r>
        <w:rPr>
          <w:rFonts w:hint="eastAsia"/>
          <w:color w:val="FF0000"/>
          <w:sz w:val="24"/>
        </w:rPr>
        <w:t>（2）《具体技术要求》全部参数数量10%（四舍五入取整数）超过10条的，以10条为标准；</w:t>
      </w:r>
      <w:r>
        <w:rPr>
          <w:rFonts w:hint="eastAsia"/>
          <w:color w:val="FF0000"/>
          <w:sz w:val="24"/>
          <w:highlight w:val="yellow"/>
        </w:rPr>
        <w:t>此种情形下投标人所填写的“偏离情况”与评审委员会判定不一致数量超过10条的（不含本数10），则评分项“技术偏离情况”计为0分，数量在10条以内（含本数10）的，则按照扣分处理；</w:t>
      </w:r>
      <w:r>
        <w:rPr>
          <w:rFonts w:hint="eastAsia"/>
          <w:color w:val="FF0000"/>
          <w:sz w:val="24"/>
        </w:rPr>
        <w:t>（3）其他情况，按《具体技术要求》全部参数数量10%（四舍五入取整数）为标准。</w:t>
      </w:r>
    </w:p>
    <w:p>
      <w:pPr>
        <w:rPr>
          <w:b/>
          <w:color w:val="FF0000"/>
          <w:sz w:val="24"/>
        </w:rPr>
      </w:pPr>
      <w:r>
        <w:rPr>
          <w:rFonts w:hint="eastAsia"/>
          <w:sz w:val="24"/>
        </w:rPr>
        <w:t>6、投标产品的技术参数应按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w:t>
      </w:r>
      <w:r>
        <w:rPr>
          <w:rFonts w:hint="eastAsia"/>
          <w:sz w:val="24"/>
          <w:highlight w:val="yellow"/>
        </w:rPr>
        <w:t>明”一栏中列出技术参数的证明资料名称，并指明该证明资料在投标文件中的具体位置。提供的证明资料显示产品参数信息不符合招标文件要求的，如果投标人偏离程度响应为“无偏离或正偏离”的，则应判断为负偏离；提供的证明材料模糊不清，导致评审专家无法判断的，如果投标人偏离程度响应为“无偏离或正偏离”的，则应判断为负偏离。</w:t>
      </w:r>
      <w:r>
        <w:rPr>
          <w:rFonts w:hint="eastAsia"/>
          <w:b/>
          <w:color w:val="FF0000"/>
          <w:sz w:val="24"/>
          <w:highlight w:val="yellow"/>
        </w:rPr>
        <w:t>若《技术规格偏离表》中未要求提供相应证明材料的，投标人可以不提供。</w:t>
      </w:r>
    </w:p>
    <w:p>
      <w:pPr>
        <w:rPr>
          <w:sz w:val="24"/>
        </w:rPr>
      </w:pPr>
      <w:r>
        <w:rPr>
          <w:rFonts w:hint="eastAsia"/>
          <w:sz w:val="24"/>
        </w:rPr>
        <w:t>7、证明资料（均为扫描件）的提供要求：</w:t>
      </w:r>
    </w:p>
    <w:p>
      <w:pPr>
        <w:rPr>
          <w:sz w:val="24"/>
        </w:rPr>
      </w:pPr>
      <w:r>
        <w:rPr>
          <w:rFonts w:hint="eastAsia"/>
          <w:sz w:val="24"/>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rPr>
          <w:sz w:val="24"/>
        </w:rPr>
      </w:pPr>
      <w:r>
        <w:rPr>
          <w:rFonts w:hint="eastAsia"/>
          <w:sz w:val="24"/>
        </w:rPr>
        <w:t>（2）我国政府机构出具的产品检验和核准证件应为证件正面、背面和附件标注的全部具体内容；产品检验和核准证件的尺寸和清晰度应该能够在电脑上被阅读、识别和判断。</w:t>
      </w:r>
    </w:p>
    <w:p>
      <w:pPr>
        <w:widowControl/>
        <w:jc w:val="left"/>
        <w:rPr>
          <w:sz w:val="24"/>
        </w:rPr>
      </w:pPr>
      <w:r>
        <w:rPr>
          <w:sz w:val="24"/>
        </w:rPr>
        <w:br w:type="page"/>
      </w:r>
    </w:p>
    <w:p>
      <w:pPr>
        <w:pStyle w:val="3"/>
        <w:jc w:val="center"/>
        <w:rPr>
          <w:rFonts w:ascii="黑体" w:eastAsia="黑体"/>
          <w:b w:val="0"/>
          <w:bCs w:val="0"/>
          <w:sz w:val="24"/>
          <w:szCs w:val="20"/>
        </w:rPr>
      </w:pPr>
      <w:r>
        <w:rPr>
          <w:rFonts w:hint="eastAsia" w:ascii="黑体" w:eastAsia="黑体"/>
          <w:b w:val="0"/>
          <w:bCs w:val="0"/>
          <w:sz w:val="24"/>
          <w:szCs w:val="20"/>
        </w:rPr>
        <w:t>七、商务需求偏离表</w:t>
      </w:r>
    </w:p>
    <w:tbl>
      <w:tblPr>
        <w:tblStyle w:val="43"/>
        <w:tblW w:w="9957"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87"/>
        <w:gridCol w:w="3282"/>
        <w:gridCol w:w="3168"/>
        <w:gridCol w:w="10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bCs/>
                <w:szCs w:val="21"/>
              </w:rPr>
            </w:pPr>
            <w:r>
              <w:rPr>
                <w:rFonts w:hint="eastAsia" w:ascii="宋体" w:hAnsi="宋体"/>
                <w:bCs/>
              </w:rPr>
              <w:t>序号</w:t>
            </w:r>
          </w:p>
        </w:tc>
        <w:tc>
          <w:tcPr>
            <w:tcW w:w="1087" w:type="dxa"/>
            <w:tcBorders>
              <w:top w:val="single" w:color="auto" w:sz="4" w:space="0"/>
              <w:left w:val="nil"/>
              <w:bottom w:val="single" w:color="auto" w:sz="4" w:space="0"/>
              <w:right w:val="single" w:color="auto" w:sz="4" w:space="0"/>
            </w:tcBorders>
            <w:vAlign w:val="center"/>
          </w:tcPr>
          <w:p>
            <w:pPr>
              <w:jc w:val="center"/>
              <w:rPr>
                <w:rFonts w:ascii="宋体" w:hAnsi="宋体" w:cs="Calibri"/>
                <w:bCs/>
                <w:szCs w:val="21"/>
              </w:rPr>
            </w:pPr>
            <w:r>
              <w:rPr>
                <w:rFonts w:hint="eastAsia" w:ascii="宋体" w:hAnsi="宋体"/>
                <w:bCs/>
              </w:rPr>
              <w:t>目录</w:t>
            </w:r>
          </w:p>
        </w:tc>
        <w:tc>
          <w:tcPr>
            <w:tcW w:w="3282" w:type="dxa"/>
            <w:tcBorders>
              <w:top w:val="single" w:color="auto" w:sz="4" w:space="0"/>
              <w:left w:val="nil"/>
              <w:bottom w:val="single" w:color="auto" w:sz="4" w:space="0"/>
              <w:right w:val="single" w:color="auto" w:sz="4" w:space="0"/>
            </w:tcBorders>
            <w:vAlign w:val="center"/>
          </w:tcPr>
          <w:p>
            <w:pPr>
              <w:jc w:val="center"/>
              <w:rPr>
                <w:rFonts w:ascii="宋体" w:hAnsi="宋体" w:cs="Calibri"/>
                <w:b/>
                <w:szCs w:val="21"/>
              </w:rPr>
            </w:pPr>
            <w:r>
              <w:rPr>
                <w:rFonts w:hint="eastAsia"/>
              </w:rPr>
              <w:t>招标商务条款</w:t>
            </w:r>
          </w:p>
        </w:tc>
        <w:tc>
          <w:tcPr>
            <w:tcW w:w="3168" w:type="dxa"/>
            <w:tcBorders>
              <w:top w:val="single" w:color="auto" w:sz="4" w:space="0"/>
              <w:left w:val="nil"/>
              <w:bottom w:val="single" w:color="auto" w:sz="4" w:space="0"/>
              <w:right w:val="single" w:color="auto" w:sz="4" w:space="0"/>
            </w:tcBorders>
            <w:vAlign w:val="center"/>
          </w:tcPr>
          <w:p>
            <w:pPr>
              <w:jc w:val="center"/>
              <w:rPr>
                <w:rFonts w:ascii="宋体" w:hAnsi="宋体" w:cs="Calibri"/>
                <w:b/>
                <w:szCs w:val="21"/>
              </w:rPr>
            </w:pPr>
            <w:r>
              <w:rPr>
                <w:rFonts w:hint="eastAsia"/>
              </w:rPr>
              <w:t>投标商务条款</w:t>
            </w: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cs="Calibri"/>
                <w:b/>
                <w:szCs w:val="21"/>
              </w:rPr>
            </w:pPr>
            <w:r>
              <w:rPr>
                <w:rFonts w:hint="eastAsia"/>
                <w:sz w:val="20"/>
                <w:szCs w:val="20"/>
              </w:rPr>
              <w:t>偏离情况</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Calibri"/>
                <w:b/>
                <w:szCs w:val="21"/>
              </w:rP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57" w:type="dxa"/>
            <w:gridSpan w:val="6"/>
            <w:tcBorders>
              <w:top w:val="single" w:color="auto" w:sz="4" w:space="0"/>
              <w:left w:val="single" w:color="auto" w:sz="4" w:space="0"/>
              <w:bottom w:val="single" w:color="auto" w:sz="4" w:space="0"/>
              <w:right w:val="single" w:color="auto" w:sz="4" w:space="0"/>
            </w:tcBorders>
          </w:tcPr>
          <w:p>
            <w:pPr>
              <w:rPr>
                <w:rFonts w:ascii="宋体" w:hAnsi="宋体" w:cs="Calibri"/>
                <w:b/>
                <w:szCs w:val="21"/>
              </w:rPr>
            </w:pPr>
            <w:r>
              <w:rPr>
                <w:rFonts w:hint="eastAsia" w:ascii="宋体" w:hAnsi="宋体"/>
                <w:b/>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1</w:t>
            </w:r>
          </w:p>
        </w:tc>
        <w:tc>
          <w:tcPr>
            <w:tcW w:w="1087"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维修响应及故障解决时间</w:t>
            </w:r>
          </w:p>
        </w:tc>
        <w:tc>
          <w:tcPr>
            <w:tcW w:w="3282" w:type="dxa"/>
            <w:tcBorders>
              <w:top w:val="single" w:color="auto" w:sz="4" w:space="0"/>
              <w:left w:val="nil"/>
              <w:bottom w:val="single" w:color="auto" w:sz="4" w:space="0"/>
              <w:right w:val="single" w:color="auto" w:sz="4" w:space="0"/>
            </w:tcBorders>
          </w:tcPr>
          <w:p>
            <w:pPr>
              <w:rPr>
                <w:rFonts w:ascii="宋体" w:hAnsi="宋体" w:cs="Calibri"/>
                <w:b/>
                <w:szCs w:val="21"/>
              </w:rPr>
            </w:pPr>
            <w:r>
              <w:rPr>
                <w:rFonts w:hint="eastAsia" w:ascii="宋体" w:hAnsi="宋体"/>
                <w:bCs/>
              </w:rPr>
              <w:t>在保修期内，一旦发生质量问题，投标人保证在接到通知24小时内赶到现场进行修理或更换。</w:t>
            </w:r>
          </w:p>
        </w:tc>
        <w:tc>
          <w:tcPr>
            <w:tcW w:w="3168"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2</w:t>
            </w:r>
          </w:p>
        </w:tc>
        <w:tc>
          <w:tcPr>
            <w:tcW w:w="1087"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关于免费保修期</w:t>
            </w:r>
          </w:p>
        </w:tc>
        <w:tc>
          <w:tcPr>
            <w:tcW w:w="3282" w:type="dxa"/>
            <w:tcBorders>
              <w:top w:val="single" w:color="auto" w:sz="4" w:space="0"/>
              <w:left w:val="nil"/>
              <w:bottom w:val="single" w:color="auto" w:sz="4" w:space="0"/>
              <w:right w:val="single" w:color="auto" w:sz="4" w:space="0"/>
            </w:tcBorders>
          </w:tcPr>
          <w:p>
            <w:pPr>
              <w:rPr>
                <w:rFonts w:ascii="宋体" w:hAnsi="宋体" w:cs="Calibri"/>
                <w:b/>
                <w:szCs w:val="21"/>
              </w:rPr>
            </w:pPr>
            <w:r>
              <w:rPr>
                <w:rFonts w:hint="eastAsia" w:ascii="宋体" w:hAnsi="宋体"/>
                <w:b/>
                <w:kern w:val="0"/>
              </w:rPr>
              <w:t>★</w:t>
            </w:r>
            <w:r>
              <w:rPr>
                <w:rFonts w:hint="eastAsia" w:ascii="宋体" w:hAnsi="宋体"/>
                <w:color w:val="FF0000"/>
                <w:kern w:val="0"/>
              </w:rPr>
              <w:t>1.1货物免费保修期（即疫苗有效期）：从到货日期算起到失效≥5个月</w:t>
            </w:r>
            <w:r>
              <w:rPr>
                <w:rFonts w:hint="eastAsia" w:ascii="宋体" w:hAnsi="宋体"/>
                <w:bCs/>
              </w:rPr>
              <w:t>，时间自最终验收合格并交付使用之日起计算。</w:t>
            </w:r>
          </w:p>
        </w:tc>
        <w:tc>
          <w:tcPr>
            <w:tcW w:w="3168" w:type="dxa"/>
            <w:tcBorders>
              <w:top w:val="single" w:color="auto" w:sz="4" w:space="0"/>
              <w:left w:val="nil"/>
              <w:bottom w:val="single" w:color="auto" w:sz="4" w:space="0"/>
              <w:right w:val="single" w:color="auto" w:sz="4" w:space="0"/>
            </w:tcBorders>
          </w:tcPr>
          <w:p>
            <w:pPr>
              <w:rPr>
                <w:rFonts w:ascii="宋体" w:hAnsi="宋体" w:cs="Calibri"/>
                <w:b/>
                <w:kern w:val="0"/>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
                <w:kern w:val="0"/>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3</w:t>
            </w:r>
          </w:p>
        </w:tc>
        <w:tc>
          <w:tcPr>
            <w:tcW w:w="1087" w:type="dxa"/>
            <w:vMerge w:val="restart"/>
            <w:tcBorders>
              <w:top w:val="nil"/>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其他</w:t>
            </w:r>
          </w:p>
        </w:tc>
        <w:tc>
          <w:tcPr>
            <w:tcW w:w="3282" w:type="dxa"/>
            <w:tcBorders>
              <w:top w:val="single" w:color="auto" w:sz="4" w:space="0"/>
              <w:left w:val="nil"/>
              <w:bottom w:val="single" w:color="auto" w:sz="4" w:space="0"/>
              <w:right w:val="single" w:color="auto" w:sz="4" w:space="0"/>
            </w:tcBorders>
            <w:vAlign w:val="center"/>
          </w:tcPr>
          <w:p>
            <w:pPr>
              <w:rPr>
                <w:rFonts w:ascii="宋体" w:hAnsi="宋体" w:cs="Calibri"/>
                <w:b/>
                <w:szCs w:val="21"/>
              </w:rPr>
            </w:pPr>
            <w:r>
              <w:rPr>
                <w:rFonts w:hint="eastAsia" w:ascii="宋体" w:hAnsi="宋体"/>
              </w:rPr>
              <w:t>3.1在交货时提供中国药品生物制品检定所出具的产品批签发合格证、质检报告及样品等相关资料。</w:t>
            </w:r>
          </w:p>
        </w:tc>
        <w:tc>
          <w:tcPr>
            <w:tcW w:w="3168"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vAlign w:val="center"/>
          </w:tcPr>
          <w:p>
            <w:pPr>
              <w:rPr>
                <w:rFonts w:ascii="宋体" w:hAnsi="宋体" w:cs="Calibri"/>
                <w:bCs/>
                <w:szCs w:val="21"/>
              </w:rPr>
            </w:pPr>
            <w:r>
              <w:rPr>
                <w:rFonts w:hint="eastAsia" w:ascii="宋体" w:hAnsi="宋体"/>
              </w:rPr>
              <w:t>3.2符合《生物制品包装规程》的标准，具有良好的密封性和防潮性，破损率低于国家规定标准。大、中、小包装上都应标明“免费”字样标识。大包装指整箱，中包装指大包装里面的中盒，小包装指每剂次的包装盒。大、中（如有）、小包装均应印有批号（生产日期）、失效期等包装标识，小包装应附中文使用说明书一份。</w:t>
            </w:r>
          </w:p>
        </w:tc>
        <w:tc>
          <w:tcPr>
            <w:tcW w:w="3168"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vAlign w:val="center"/>
          </w:tcPr>
          <w:p>
            <w:pPr>
              <w:rPr>
                <w:rFonts w:ascii="宋体" w:hAnsi="宋体" w:cs="Calibri"/>
                <w:bCs/>
                <w:szCs w:val="21"/>
              </w:rPr>
            </w:pPr>
            <w:r>
              <w:rPr>
                <w:rFonts w:hint="eastAsia" w:ascii="宋体" w:hAnsi="宋体"/>
                <w:bCs/>
              </w:rPr>
              <w:t>3.3投标人应按其投标文件中的承诺，进行其他售后服务工作。</w:t>
            </w:r>
          </w:p>
        </w:tc>
        <w:tc>
          <w:tcPr>
            <w:tcW w:w="3168" w:type="dxa"/>
            <w:tcBorders>
              <w:top w:val="single" w:color="auto" w:sz="4" w:space="0"/>
              <w:left w:val="nil"/>
              <w:bottom w:val="single" w:color="auto" w:sz="4" w:space="0"/>
              <w:right w:val="single" w:color="auto" w:sz="4" w:space="0"/>
            </w:tcBorders>
            <w:vAlign w:val="center"/>
          </w:tcPr>
          <w:p>
            <w:pPr>
              <w:rPr>
                <w:rFonts w:ascii="宋体" w:hAnsi="宋体" w:cs="Calibri"/>
                <w:bCs/>
                <w:szCs w:val="21"/>
              </w:rPr>
            </w:pPr>
          </w:p>
        </w:tc>
        <w:tc>
          <w:tcPr>
            <w:tcW w:w="1017" w:type="dxa"/>
            <w:tcBorders>
              <w:top w:val="single" w:color="auto" w:sz="4" w:space="0"/>
              <w:left w:val="nil"/>
              <w:bottom w:val="single" w:color="auto" w:sz="4" w:space="0"/>
              <w:right w:val="single" w:color="auto" w:sz="4" w:space="0"/>
            </w:tcBorders>
            <w:vAlign w:val="center"/>
          </w:tcPr>
          <w:p>
            <w:pPr>
              <w:rPr>
                <w:rFonts w:ascii="宋体" w:hAnsi="宋体" w:cs="Calibri"/>
                <w:bCs/>
                <w:szCs w:val="21"/>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vAlign w:val="center"/>
          </w:tcPr>
          <w:p>
            <w:pPr>
              <w:rPr>
                <w:rFonts w:ascii="宋体" w:hAnsi="宋体" w:cs="Calibri"/>
                <w:bCs/>
                <w:szCs w:val="21"/>
              </w:rPr>
            </w:pPr>
            <w:r>
              <w:rPr>
                <w:rFonts w:hint="eastAsia" w:ascii="宋体" w:hAnsi="宋体"/>
              </w:rPr>
              <w:t>3.4投标人在中标后提供有关免疫规划疫苗使用的中文文件（说明书和相关资料）。</w:t>
            </w:r>
          </w:p>
        </w:tc>
        <w:tc>
          <w:tcPr>
            <w:tcW w:w="3168"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bCs/>
                <w:szCs w:val="21"/>
              </w:rPr>
            </w:pPr>
            <w:r>
              <w:rPr>
                <w:rFonts w:hint="eastAsia" w:ascii="宋体" w:hAnsi="宋体"/>
              </w:rPr>
              <w:t>3.5投标人在中标后提供免疫规划疫苗执行的生产标准和测试验收标准。</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3.6投标人在中标后提供有关免疫规划疫苗使用的中文文件（说明书和相关资料）。</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3.7投标人在中标后提供免疫规划疫苗执行的生产标准和测试验收标准。</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57" w:type="dxa"/>
            <w:gridSpan w:val="6"/>
            <w:tcBorders>
              <w:top w:val="single" w:color="auto" w:sz="4" w:space="0"/>
              <w:left w:val="single" w:color="auto" w:sz="4" w:space="0"/>
              <w:bottom w:val="single" w:color="auto" w:sz="4" w:space="0"/>
              <w:right w:val="single" w:color="auto" w:sz="4" w:space="0"/>
            </w:tcBorders>
          </w:tcPr>
          <w:p>
            <w:pPr>
              <w:rPr>
                <w:rFonts w:ascii="宋体" w:hAnsi="宋体" w:cs="Calibri"/>
                <w:b/>
                <w:szCs w:val="21"/>
              </w:rPr>
            </w:pPr>
            <w:r>
              <w:rPr>
                <w:rFonts w:hint="eastAsia" w:ascii="宋体" w:hAnsi="宋体"/>
                <w:b/>
              </w:rPr>
              <w:t>（二）其他商务条款偏离表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1</w:t>
            </w:r>
          </w:p>
        </w:tc>
        <w:tc>
          <w:tcPr>
            <w:tcW w:w="1087"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关于交货</w:t>
            </w:r>
          </w:p>
        </w:tc>
        <w:tc>
          <w:tcPr>
            <w:tcW w:w="3282" w:type="dxa"/>
            <w:tcBorders>
              <w:top w:val="single" w:color="auto" w:sz="4" w:space="0"/>
              <w:left w:val="nil"/>
              <w:bottom w:val="single" w:color="auto" w:sz="4" w:space="0"/>
              <w:right w:val="single" w:color="auto" w:sz="4" w:space="0"/>
            </w:tcBorders>
          </w:tcPr>
          <w:p>
            <w:pPr>
              <w:rPr>
                <w:rFonts w:ascii="宋体" w:hAnsi="宋体" w:cs="Calibri"/>
                <w:bCs/>
                <w:szCs w:val="21"/>
              </w:rPr>
            </w:pPr>
            <w:r>
              <w:rPr>
                <w:rFonts w:hint="eastAsia" w:ascii="宋体" w:hAnsi="宋体"/>
                <w:bCs/>
              </w:rPr>
              <w:t>1.1交货地点：深圳市龙华区建辉路123号1、2栋国药控股广州有限公司冷库。</w:t>
            </w:r>
          </w:p>
        </w:tc>
        <w:tc>
          <w:tcPr>
            <w:tcW w:w="3168"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bCs/>
                <w:color w:val="FF0000"/>
                <w:szCs w:val="21"/>
              </w:rPr>
            </w:pPr>
            <w:r>
              <w:rPr>
                <w:rFonts w:hint="eastAsia" w:ascii="宋体" w:hAnsi="宋体"/>
                <w:b/>
              </w:rPr>
              <w:t>★</w:t>
            </w:r>
            <w:r>
              <w:rPr>
                <w:rFonts w:hint="eastAsia" w:ascii="宋体" w:hAnsi="宋体"/>
                <w:bCs/>
                <w:color w:val="FF0000"/>
              </w:rPr>
              <w:t>1.2签订合同后120天（日历日）内第一次交货。</w:t>
            </w:r>
            <w:r>
              <w:rPr>
                <w:rFonts w:hint="eastAsia" w:ascii="宋体" w:hAnsi="宋体"/>
              </w:rPr>
              <w:t>首批流感疫苗为最低招标总数的80%，但要视冷库容量而定。</w:t>
            </w:r>
          </w:p>
        </w:tc>
        <w:tc>
          <w:tcPr>
            <w:tcW w:w="3168" w:type="dxa"/>
            <w:tcBorders>
              <w:top w:val="single" w:color="auto" w:sz="4" w:space="0"/>
              <w:left w:val="nil"/>
              <w:bottom w:val="single" w:color="auto" w:sz="4" w:space="0"/>
              <w:right w:val="single" w:color="auto" w:sz="4" w:space="0"/>
            </w:tcBorders>
          </w:tcPr>
          <w:p>
            <w:pPr>
              <w:rPr>
                <w:rFonts w:ascii="宋体" w:hAnsi="宋体" w:cs="Calibri"/>
                <w:b/>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bCs/>
                <w:szCs w:val="21"/>
              </w:rPr>
            </w:pPr>
            <w:r>
              <w:rPr>
                <w:rFonts w:hint="eastAsia" w:ascii="宋体" w:hAnsi="宋体"/>
              </w:rPr>
              <w:t>1.3第二批流感疫苗为最低招标总数的20%，</w:t>
            </w:r>
            <w:r>
              <w:rPr>
                <w:rFonts w:hint="eastAsia" w:ascii="宋体" w:hAnsi="宋体"/>
                <w:bCs/>
              </w:rPr>
              <w:t>后续要根据首批流感疫苗接种情况而定，需按采购人的要求进行送货。</w:t>
            </w:r>
            <w:r>
              <w:rPr>
                <w:rFonts w:hint="eastAsia" w:ascii="宋体" w:hAnsi="宋体"/>
              </w:rPr>
              <w:t>该项目为长期货物项目，合同期满可以续签，但合同履行期限最长不得超过二十四个月。如甲方对履约情况不满意，甲方不再续约。</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bCs/>
                <w:szCs w:val="21"/>
              </w:rPr>
            </w:pPr>
            <w:r>
              <w:rPr>
                <w:rFonts w:hint="eastAsia" w:ascii="宋体" w:hAnsi="宋体"/>
                <w:bCs/>
              </w:rPr>
              <w:t>1.4</w:t>
            </w:r>
            <w:r>
              <w:rPr>
                <w:rFonts w:hint="eastAsia" w:ascii="宋体" w:hAnsi="宋体"/>
              </w:rPr>
              <w:t>储存和运输要求：疫苗储存和运输要符合《疫苗储存和运输管理规范》的规定，并提供疫苗运输过程中的冷链监测数据。中标人应积极储备足够的储存疫苗，和具有应对采购人紧急订货需求的配送能力或条件。</w:t>
            </w:r>
          </w:p>
        </w:tc>
        <w:tc>
          <w:tcPr>
            <w:tcW w:w="3168"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bCs/>
                <w:szCs w:val="21"/>
              </w:rPr>
            </w:pPr>
            <w:r>
              <w:rPr>
                <w:rFonts w:hint="eastAsia" w:ascii="宋体" w:hAnsi="宋体"/>
                <w:bCs/>
              </w:rPr>
              <w:t>1.5</w:t>
            </w:r>
            <w:r>
              <w:rPr>
                <w:rFonts w:hint="eastAsia" w:ascii="宋体" w:hAnsi="宋体"/>
              </w:rPr>
              <w:t>中标人负责搬运到采购人指定的存放地点，并承担所产生的费用。</w:t>
            </w:r>
          </w:p>
        </w:tc>
        <w:tc>
          <w:tcPr>
            <w:tcW w:w="3168"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Cs/>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2</w:t>
            </w:r>
          </w:p>
        </w:tc>
        <w:tc>
          <w:tcPr>
            <w:tcW w:w="1087" w:type="dxa"/>
            <w:vMerge w:val="restart"/>
            <w:tcBorders>
              <w:top w:val="nil"/>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关于验收</w:t>
            </w: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2.1投标人应提供技术成熟的符合用户需求的新型免疫规划疫苗，并确保其完整性和可靠性。货物运送至交货地点后，由中标人和采购人进行联合验收。货物的外包装应牢固、完好，符合储存运输要求。在此期间如发现货物有破损，中标人应立即予以更换（费用由中标人承担）。如上述要求不合格，采购人可拒绝接收。</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2.2当满足以下条件时，采购人才向中标人签发货物验收报告：</w:t>
            </w:r>
          </w:p>
          <w:p>
            <w:pPr>
              <w:rPr>
                <w:rFonts w:ascii="宋体" w:hAnsi="宋体"/>
              </w:rPr>
            </w:pPr>
            <w:r>
              <w:rPr>
                <w:rFonts w:hint="eastAsia" w:ascii="宋体" w:hAnsi="宋体"/>
              </w:rPr>
              <w:t>a、中标人已按照合同规定提供了全部产品及完整的技术资料。</w:t>
            </w:r>
          </w:p>
          <w:p>
            <w:pPr>
              <w:rPr>
                <w:rFonts w:ascii="宋体" w:hAnsi="宋体"/>
              </w:rPr>
            </w:pPr>
            <w:r>
              <w:rPr>
                <w:rFonts w:hint="eastAsia" w:ascii="宋体" w:hAnsi="宋体"/>
              </w:rPr>
              <w:t>b、货物符合招标文件技术规格书的要求，性能满足要求。</w:t>
            </w:r>
          </w:p>
          <w:p>
            <w:pPr>
              <w:rPr>
                <w:rFonts w:ascii="宋体" w:hAnsi="宋体"/>
              </w:rPr>
            </w:pPr>
            <w:r>
              <w:rPr>
                <w:rFonts w:hint="eastAsia" w:ascii="宋体" w:hAnsi="宋体"/>
              </w:rPr>
              <w:t>c、货物具备产品合格证。</w:t>
            </w:r>
          </w:p>
          <w:p>
            <w:pPr>
              <w:rPr>
                <w:rFonts w:ascii="宋体" w:hAnsi="宋体" w:cs="Calibri"/>
                <w:szCs w:val="21"/>
              </w:rPr>
            </w:pPr>
            <w:r>
              <w:rPr>
                <w:rFonts w:hint="eastAsia" w:ascii="宋体" w:hAnsi="宋体"/>
              </w:rPr>
              <w:t>d、按有关标准提供免疫规划疫苗包装，按采购人的订购计划并采用冷链要求将其运抵交货地点。</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3</w:t>
            </w:r>
          </w:p>
        </w:tc>
        <w:tc>
          <w:tcPr>
            <w:tcW w:w="1087" w:type="dxa"/>
            <w:vMerge w:val="restart"/>
            <w:tcBorders>
              <w:top w:val="nil"/>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关于违约</w:t>
            </w: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3.1中标人不能交货的，需偿付不能交货部分货款的  30 %的违约金并按主管部门相关规定处理。</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3.2中标人逾期交货的，将按主管部门相关规定处理。</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3.3中标人所交付产品、服务不符合其投标承诺的，或在投标阶段为了中标而盲目虚假承诺、低价恶性竞争，在履约阶段则通过偷工减料、以次充好而获取利润的，将被履约评价工作实施机构评为履约等级“差”并按主管部门相关规定处理。</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4</w:t>
            </w:r>
          </w:p>
        </w:tc>
        <w:tc>
          <w:tcPr>
            <w:tcW w:w="1087"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关于付款</w:t>
            </w:r>
          </w:p>
        </w:tc>
        <w:tc>
          <w:tcPr>
            <w:tcW w:w="3282" w:type="dxa"/>
            <w:tcBorders>
              <w:top w:val="single" w:color="auto" w:sz="4" w:space="0"/>
              <w:left w:val="nil"/>
              <w:bottom w:val="single" w:color="auto" w:sz="4" w:space="0"/>
              <w:right w:val="single" w:color="auto" w:sz="4" w:space="0"/>
            </w:tcBorders>
          </w:tcPr>
          <w:p>
            <w:pPr>
              <w:rPr>
                <w:rFonts w:ascii="宋体" w:hAnsi="宋体" w:cs="Calibri"/>
                <w:b/>
                <w:color w:val="FF0000"/>
                <w:szCs w:val="21"/>
              </w:rPr>
            </w:pPr>
            <w:r>
              <w:rPr>
                <w:rFonts w:hint="eastAsia" w:ascii="宋体" w:hAnsi="宋体"/>
                <w:b/>
              </w:rPr>
              <w:t>按深圳市财政部门的规定国库直接支付。合同签订并备案同意后预支付总数量的80%作为疫苗预付款，后续按每次到货验收合格后进行支付。</w:t>
            </w:r>
          </w:p>
        </w:tc>
        <w:tc>
          <w:tcPr>
            <w:tcW w:w="3168" w:type="dxa"/>
            <w:tcBorders>
              <w:top w:val="single" w:color="auto" w:sz="4" w:space="0"/>
              <w:left w:val="nil"/>
              <w:bottom w:val="single" w:color="auto" w:sz="4" w:space="0"/>
              <w:right w:val="single" w:color="auto" w:sz="4" w:space="0"/>
            </w:tcBorders>
          </w:tcPr>
          <w:p>
            <w:pPr>
              <w:rPr>
                <w:rFonts w:ascii="宋体" w:hAnsi="宋体" w:cs="Calibri"/>
                <w:b/>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5</w:t>
            </w:r>
          </w:p>
        </w:tc>
        <w:tc>
          <w:tcPr>
            <w:tcW w:w="1087" w:type="dxa"/>
            <w:vMerge w:val="restart"/>
            <w:tcBorders>
              <w:top w:val="nil"/>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其他</w:t>
            </w:r>
          </w:p>
        </w:tc>
        <w:tc>
          <w:tcPr>
            <w:tcW w:w="3282" w:type="dxa"/>
            <w:tcBorders>
              <w:top w:val="single" w:color="auto" w:sz="4" w:space="0"/>
              <w:left w:val="nil"/>
              <w:bottom w:val="single" w:color="auto" w:sz="4" w:space="0"/>
              <w:right w:val="single" w:color="auto" w:sz="4" w:space="0"/>
            </w:tcBorders>
          </w:tcPr>
          <w:p>
            <w:pPr>
              <w:rPr>
                <w:rFonts w:ascii="宋体" w:hAnsi="宋体" w:cs="Calibri"/>
                <w:b/>
                <w:szCs w:val="21"/>
              </w:rPr>
            </w:pPr>
            <w:r>
              <w:rPr>
                <w:rFonts w:hint="eastAsia" w:ascii="宋体" w:hAnsi="宋体"/>
              </w:rPr>
              <w:t>5.1中标人应确保疫苗的完整性。对于招标文件没有列出，而对疫苗的正常使用必不可少的且应属于疫苗需求配带的物品，中标人有责任给予补充。</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5.2中标人提供的所有疫苗都应是制造商的原厂全新的。</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rPr>
              <w:t>5.3中标人应有技术指导、培训、质量监督、维护保养和异常反应监测处理等项目的服务和经费列支。中标人应承诺协助采购人处理疑似预防接种异常反应，并提供处理措施方案。</w:t>
            </w:r>
          </w:p>
        </w:tc>
        <w:tc>
          <w:tcPr>
            <w:tcW w:w="3168"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szCs w:val="21"/>
              </w:rPr>
            </w:pPr>
          </w:p>
        </w:tc>
        <w:tc>
          <w:tcPr>
            <w:tcW w:w="1087" w:type="dxa"/>
            <w:vMerge w:val="continue"/>
            <w:tcBorders>
              <w:top w:val="nil"/>
              <w:left w:val="nil"/>
              <w:bottom w:val="single" w:color="auto" w:sz="4" w:space="0"/>
              <w:right w:val="single" w:color="auto" w:sz="4" w:space="0"/>
            </w:tcBorders>
            <w:vAlign w:val="center"/>
          </w:tcPr>
          <w:p>
            <w:pPr>
              <w:widowControl/>
              <w:jc w:val="left"/>
              <w:rPr>
                <w:rFonts w:ascii="宋体" w:hAnsi="宋体" w:cs="Calibri"/>
                <w:szCs w:val="21"/>
              </w:rPr>
            </w:pPr>
          </w:p>
        </w:tc>
        <w:tc>
          <w:tcPr>
            <w:tcW w:w="3282" w:type="dxa"/>
            <w:tcBorders>
              <w:top w:val="single" w:color="auto" w:sz="4" w:space="0"/>
              <w:left w:val="nil"/>
              <w:bottom w:val="single" w:color="auto" w:sz="4" w:space="0"/>
              <w:right w:val="single" w:color="auto" w:sz="4" w:space="0"/>
            </w:tcBorders>
          </w:tcPr>
          <w:p>
            <w:pPr>
              <w:rPr>
                <w:rFonts w:ascii="宋体" w:hAnsi="宋体" w:cs="Calibri"/>
                <w:szCs w:val="21"/>
              </w:rPr>
            </w:pPr>
            <w:r>
              <w:rPr>
                <w:rFonts w:hint="eastAsia" w:ascii="宋体" w:hAnsi="宋体"/>
                <w:b/>
              </w:rPr>
              <w:t>▲</w:t>
            </w:r>
            <w:r>
              <w:rPr>
                <w:rFonts w:hint="eastAsia" w:ascii="宋体" w:hAnsi="宋体"/>
              </w:rPr>
              <w:t>5.4中标人协助采购人开展疫苗电子监管码使用管理工作的相关事宜。</w:t>
            </w:r>
          </w:p>
        </w:tc>
        <w:tc>
          <w:tcPr>
            <w:tcW w:w="3168" w:type="dxa"/>
            <w:tcBorders>
              <w:top w:val="single" w:color="auto" w:sz="4" w:space="0"/>
              <w:left w:val="nil"/>
              <w:bottom w:val="single" w:color="auto" w:sz="4" w:space="0"/>
              <w:right w:val="single" w:color="auto" w:sz="4" w:space="0"/>
            </w:tcBorders>
          </w:tcPr>
          <w:p>
            <w:pPr>
              <w:rPr>
                <w:rFonts w:ascii="宋体" w:hAnsi="宋体" w:cs="Calibri"/>
                <w:b/>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6</w:t>
            </w:r>
          </w:p>
        </w:tc>
        <w:tc>
          <w:tcPr>
            <w:tcW w:w="1087" w:type="dxa"/>
            <w:tcBorders>
              <w:top w:val="single" w:color="auto" w:sz="4" w:space="0"/>
              <w:left w:val="nil"/>
              <w:bottom w:val="single" w:color="auto" w:sz="4" w:space="0"/>
              <w:right w:val="single" w:color="auto" w:sz="4" w:space="0"/>
            </w:tcBorders>
            <w:vAlign w:val="center"/>
          </w:tcPr>
          <w:p>
            <w:pPr>
              <w:widowControl/>
              <w:jc w:val="center"/>
              <w:rPr>
                <w:rFonts w:ascii="宋体" w:hAnsi="宋体" w:cs="Calibri"/>
                <w:szCs w:val="21"/>
              </w:rPr>
            </w:pPr>
            <w:r>
              <w:rPr>
                <w:rFonts w:hint="eastAsia" w:ascii="宋体" w:hAnsi="宋体"/>
              </w:rPr>
              <w:t>项目（产品）要求</w:t>
            </w:r>
          </w:p>
        </w:tc>
        <w:tc>
          <w:tcPr>
            <w:tcW w:w="3282" w:type="dxa"/>
            <w:tcBorders>
              <w:top w:val="single" w:color="auto" w:sz="4" w:space="0"/>
              <w:left w:val="nil"/>
              <w:bottom w:val="single" w:color="auto" w:sz="4" w:space="0"/>
              <w:right w:val="single" w:color="auto" w:sz="4" w:space="0"/>
            </w:tcBorders>
          </w:tcPr>
          <w:p>
            <w:pPr>
              <w:rPr>
                <w:rFonts w:ascii="宋体" w:hAnsi="宋体" w:cs="Calibri"/>
                <w:b/>
                <w:szCs w:val="21"/>
              </w:rPr>
            </w:pPr>
            <w:r>
              <w:rPr>
                <w:rFonts w:hint="eastAsia" w:asciiTheme="minorEastAsia" w:hAnsiTheme="minorEastAsia" w:eastAsiaTheme="minorEastAsia"/>
                <w:b/>
                <w:color w:val="FF0000"/>
                <w:szCs w:val="21"/>
              </w:rPr>
              <w:t>★</w:t>
            </w:r>
            <w:r>
              <w:rPr>
                <w:rFonts w:asciiTheme="minorEastAsia" w:hAnsiTheme="minorEastAsia" w:eastAsiaTheme="minorEastAsia"/>
                <w:b/>
                <w:color w:val="FF0000"/>
                <w:szCs w:val="21"/>
              </w:rPr>
              <w:t>投标人应提供药品监督管理部门颁发的所投产品</w:t>
            </w:r>
            <w:r>
              <w:rPr>
                <w:rFonts w:hint="eastAsia" w:asciiTheme="minorEastAsia" w:hAnsiTheme="minorEastAsia" w:eastAsiaTheme="minorEastAsia"/>
                <w:b/>
                <w:color w:val="FF0000"/>
                <w:szCs w:val="21"/>
              </w:rPr>
              <w:t>（药品通用名称：四价流感病毒裂解疫苗）</w:t>
            </w:r>
            <w:r>
              <w:rPr>
                <w:rFonts w:asciiTheme="minorEastAsia" w:hAnsiTheme="minorEastAsia" w:eastAsiaTheme="minorEastAsia"/>
                <w:b/>
                <w:color w:val="FF0000"/>
                <w:szCs w:val="21"/>
              </w:rPr>
              <w:t>在有效期内的《药品注册证》或《药品注册批件》等药品注册证明文件扫描件，原件备查。</w:t>
            </w:r>
          </w:p>
        </w:tc>
        <w:tc>
          <w:tcPr>
            <w:tcW w:w="3168" w:type="dxa"/>
            <w:tcBorders>
              <w:top w:val="single" w:color="auto" w:sz="4" w:space="0"/>
              <w:left w:val="nil"/>
              <w:bottom w:val="single" w:color="auto" w:sz="4" w:space="0"/>
              <w:right w:val="single" w:color="auto" w:sz="4" w:space="0"/>
            </w:tcBorders>
          </w:tcPr>
          <w:p>
            <w:pPr>
              <w:rPr>
                <w:rFonts w:ascii="宋体" w:hAnsi="宋体" w:cs="Calibri"/>
                <w:b/>
                <w:color w:val="FF0000"/>
                <w:szCs w:val="21"/>
              </w:rPr>
            </w:pPr>
          </w:p>
        </w:tc>
        <w:tc>
          <w:tcPr>
            <w:tcW w:w="1017" w:type="dxa"/>
            <w:tcBorders>
              <w:top w:val="single" w:color="auto" w:sz="4" w:space="0"/>
              <w:left w:val="nil"/>
              <w:bottom w:val="single" w:color="auto" w:sz="4" w:space="0"/>
              <w:right w:val="single" w:color="auto" w:sz="4" w:space="0"/>
            </w:tcBorders>
          </w:tcPr>
          <w:p>
            <w:pPr>
              <w:rPr>
                <w:rFonts w:ascii="宋体" w:hAnsi="宋体" w:cs="Calibri"/>
                <w:b/>
                <w:color w:val="FF0000"/>
                <w:szCs w:val="21"/>
              </w:rPr>
            </w:pPr>
          </w:p>
        </w:tc>
        <w:tc>
          <w:tcPr>
            <w:tcW w:w="709" w:type="dxa"/>
            <w:tcBorders>
              <w:top w:val="single" w:color="auto" w:sz="4" w:space="0"/>
              <w:left w:val="nil"/>
              <w:bottom w:val="single" w:color="auto" w:sz="4" w:space="0"/>
              <w:right w:val="single" w:color="auto" w:sz="4" w:space="0"/>
            </w:tcBorders>
          </w:tcPr>
          <w:p>
            <w:pPr>
              <w:rPr>
                <w:rFonts w:ascii="宋体" w:hAnsi="宋体" w:cs="Calibri"/>
                <w:b/>
                <w:color w:val="FF0000"/>
                <w:szCs w:val="21"/>
              </w:rPr>
            </w:pPr>
          </w:p>
        </w:tc>
      </w:tr>
    </w:tbl>
    <w:p>
      <w:pPr>
        <w:rPr>
          <w:sz w:val="24"/>
        </w:rPr>
      </w:pPr>
      <w:r>
        <w:rPr>
          <w:rFonts w:hint="eastAsia"/>
          <w:sz w:val="24"/>
        </w:rPr>
        <w:t>备注：</w:t>
      </w:r>
    </w:p>
    <w:p>
      <w:pPr>
        <w:rPr>
          <w:color w:val="FF0000"/>
          <w:sz w:val="24"/>
        </w:rPr>
      </w:pPr>
      <w:r>
        <w:rPr>
          <w:rFonts w:hint="eastAsia"/>
          <w:color w:val="FF0000"/>
          <w:sz w:val="24"/>
        </w:rPr>
        <w:t>1. “招标商务条款”一栏必须填写招标文件第二章“商务需求”的内容分别对应“（一）免费保修期内售后服务要求、（二）免费保修期外售后服务要求、（三）其他商务要求”的内容进行填写。</w:t>
      </w:r>
    </w:p>
    <w:p>
      <w:pPr>
        <w:rPr>
          <w:color w:val="FF0000"/>
          <w:sz w:val="24"/>
        </w:rPr>
      </w:pPr>
      <w:r>
        <w:rPr>
          <w:rFonts w:hint="eastAsia"/>
          <w:color w:val="FF0000"/>
          <w:sz w:val="24"/>
        </w:rPr>
        <w:t>2. “投标商务条款”一栏必须详细填写投标商务条款的内容。</w:t>
      </w:r>
    </w:p>
    <w:p>
      <w:pPr>
        <w:rPr>
          <w:color w:val="FF0000"/>
          <w:sz w:val="24"/>
        </w:rPr>
      </w:pPr>
      <w:r>
        <w:rPr>
          <w:rFonts w:hint="eastAsia"/>
          <w:color w:val="FF0000"/>
          <w:sz w:val="24"/>
        </w:rPr>
        <w:t>3. “偏离情况”栏中应如实填写“正偏离”、“负偏离”或“无偏离”。</w:t>
      </w:r>
    </w:p>
    <w:p>
      <w:pPr>
        <w:rPr>
          <w:color w:val="FF0000"/>
          <w:sz w:val="24"/>
        </w:rPr>
      </w:pPr>
      <w:r>
        <w:rPr>
          <w:rFonts w:hint="eastAsia"/>
          <w:color w:val="FF0000"/>
          <w:sz w:val="24"/>
        </w:rPr>
        <w:t>4．投标人在《商务需求偏离表》填写的“投标商务条款”与《商务需求》的“招标商务条款”存在填写不全的，将被视为未实质性满足招标文件要求作投标无效处理。示例，“招标商务条款”共有10项参数，投标人只响应了9项，填写不全，则视为未实质性满足招标文件要求作投标无效处理。</w:t>
      </w:r>
    </w:p>
    <w:p>
      <w:pPr>
        <w:rPr>
          <w:color w:val="FF0000"/>
          <w:sz w:val="24"/>
        </w:rPr>
      </w:pPr>
      <w:r>
        <w:rPr>
          <w:rFonts w:hint="eastAsia"/>
          <w:b/>
          <w:color w:val="FF0000"/>
          <w:sz w:val="24"/>
        </w:rPr>
        <w:t>5．</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，以评审委员会意见为主。另，判定结果不一致的参数超过一定数量的，则评分项“商务偏离情况”将不得分（即计为0分）。</w:t>
      </w:r>
    </w:p>
    <w:p>
      <w:pPr>
        <w:rPr>
          <w:color w:val="FF0000"/>
          <w:sz w:val="24"/>
        </w:rPr>
      </w:pPr>
      <w:r>
        <w:rPr>
          <w:rFonts w:hint="eastAsia"/>
          <w:b/>
          <w:color w:val="FF0000"/>
          <w:sz w:val="24"/>
        </w:rPr>
        <w:t>一定数量的设置：</w:t>
      </w:r>
      <w:r>
        <w:rPr>
          <w:rFonts w:hint="eastAsia"/>
          <w:color w:val="FF0000"/>
          <w:sz w:val="24"/>
        </w:rPr>
        <w:t>（1）《商务需求》全部参数数量10%（四舍五入取整数）不足3条的，以3条为标准；</w:t>
      </w:r>
      <w:r>
        <w:rPr>
          <w:rFonts w:hint="eastAsia"/>
          <w:color w:val="FF0000"/>
          <w:sz w:val="24"/>
          <w:highlight w:val="yellow"/>
        </w:rPr>
        <w:t>此种情形下投标人所填写的“偏离情况”与评审委员会判定不一致数量超过3条的（不含本数3），则商务需求分计为0分，数量在3条以内（含本数3）的，则按照扣分处理；</w:t>
      </w:r>
      <w:r>
        <w:rPr>
          <w:rFonts w:hint="eastAsia"/>
          <w:color w:val="FF0000"/>
          <w:sz w:val="24"/>
        </w:rPr>
        <w:t>（2）《商务需求》全部参数数量10%（四舍五入取整数）超过10条的，以10条为标准；</w:t>
      </w:r>
      <w:r>
        <w:rPr>
          <w:rFonts w:hint="eastAsia"/>
          <w:color w:val="FF0000"/>
          <w:sz w:val="24"/>
          <w:highlight w:val="yellow"/>
        </w:rPr>
        <w:t>此种情形下投标人所填写的“偏离情况”与评审委员会判定不一致数量超过10条的（不含本数10），则商务需求分计为0分，数量在10条以内（含本数10）的，则按照扣分处理；</w:t>
      </w:r>
      <w:r>
        <w:rPr>
          <w:rFonts w:hint="eastAsia"/>
          <w:color w:val="FF0000"/>
          <w:sz w:val="24"/>
        </w:rPr>
        <w:t>（3）其他情况，按《商务需求》全部参数数量10%（四舍五入取整数）为标准。</w:t>
      </w:r>
    </w:p>
    <w:p>
      <w:pPr>
        <w:rPr>
          <w:color w:val="FF0000"/>
          <w:sz w:val="24"/>
        </w:rPr>
      </w:pPr>
      <w:r>
        <w:rPr>
          <w:rFonts w:hint="eastAsia"/>
          <w:color w:val="FF0000"/>
          <w:sz w:val="24"/>
        </w:rPr>
        <w:t>6.交货期条款为不可负偏离条款，投标文件响应为“负偏离”的，投标文件将按无效投标处理。</w:t>
      </w:r>
    </w:p>
    <w:p>
      <w:pPr>
        <w:rPr>
          <w:color w:val="FF0000"/>
          <w:sz w:val="24"/>
        </w:rPr>
      </w:pPr>
      <w:r>
        <w:rPr>
          <w:rFonts w:hint="eastAsia"/>
          <w:color w:val="FF0000"/>
          <w:sz w:val="24"/>
        </w:rPr>
        <w:t>7.开标一览表中填写的“交货期”应当与本表填写的“交货期”一致。如填写不一致，以本表填写的“交货期”为准。</w:t>
      </w:r>
    </w:p>
    <w:p>
      <w:pPr>
        <w:rPr>
          <w:sz w:val="24"/>
        </w:rPr>
      </w:pPr>
    </w:p>
    <w:p>
      <w:pPr>
        <w:pStyle w:val="3"/>
        <w:jc w:val="center"/>
        <w:rPr>
          <w:rFonts w:ascii="黑体" w:eastAsia="黑体"/>
          <w:b w:val="0"/>
          <w:bCs w:val="0"/>
          <w:sz w:val="24"/>
          <w:szCs w:val="20"/>
        </w:rPr>
      </w:pPr>
      <w:r>
        <w:rPr>
          <w:rFonts w:hint="eastAsia" w:ascii="黑体" w:eastAsia="黑体"/>
          <w:b w:val="0"/>
          <w:bCs w:val="0"/>
          <w:sz w:val="24"/>
          <w:szCs w:val="20"/>
        </w:rPr>
        <w:t>八、投标人认为需要加以说明的其他内容</w:t>
      </w:r>
    </w:p>
    <w:p/>
    <w:p/>
    <w:p/>
    <w:p/>
    <w:p/>
    <w:p/>
    <w:p/>
    <w:p/>
    <w:p/>
    <w:p>
      <w:pPr>
        <w:rPr>
          <w:b/>
          <w:color w:val="FF0000"/>
          <w:sz w:val="24"/>
        </w:rPr>
      </w:pPr>
      <w:r>
        <w:rPr>
          <w:rFonts w:hint="eastAsia"/>
          <w:b/>
          <w:color w:val="FF0000"/>
          <w:sz w:val="24"/>
        </w:rPr>
        <w:t>（信息公开部分的内容到此为止！往下为信息不公开部分。）</w:t>
      </w:r>
    </w:p>
    <w:p>
      <w:r>
        <w:br w:type="page"/>
      </w:r>
    </w:p>
    <w:p>
      <w:pPr>
        <w:outlineLvl w:val="1"/>
        <w:rPr>
          <w:rFonts w:ascii="宋体" w:hAnsi="宋体"/>
          <w:b/>
          <w:color w:val="FF0000"/>
          <w:sz w:val="28"/>
          <w:szCs w:val="28"/>
        </w:rPr>
      </w:pPr>
      <w:r>
        <w:rPr>
          <w:rFonts w:hint="eastAsia" w:ascii="宋体" w:hAnsi="宋体"/>
          <w:b/>
          <w:color w:val="FF0000"/>
          <w:sz w:val="28"/>
          <w:szCs w:val="28"/>
        </w:rPr>
        <w:t>投标文件附件（信息不公开部分）</w:t>
      </w:r>
    </w:p>
    <w:p>
      <w:pPr>
        <w:pStyle w:val="3"/>
        <w:jc w:val="center"/>
        <w:rPr>
          <w:rFonts w:ascii="黑体" w:eastAsia="黑体"/>
          <w:b w:val="0"/>
          <w:sz w:val="24"/>
        </w:rPr>
      </w:pPr>
      <w:bookmarkStart w:id="31" w:name="_Hlk74240585"/>
      <w:r>
        <w:rPr>
          <w:rFonts w:hint="eastAsia" w:ascii="黑体" w:eastAsia="黑体"/>
          <w:b w:val="0"/>
          <w:sz w:val="24"/>
        </w:rPr>
        <w:t>一、法定代表人证明书</w:t>
      </w:r>
    </w:p>
    <w:p>
      <w:pPr>
        <w:rPr>
          <w:sz w:val="24"/>
        </w:rPr>
      </w:pPr>
    </w:p>
    <w:p>
      <w:pPr>
        <w:spacing w:line="360" w:lineRule="auto"/>
        <w:rPr>
          <w:szCs w:val="21"/>
        </w:rPr>
      </w:pPr>
      <w:r>
        <w:rPr>
          <w:rFonts w:hint="eastAsia"/>
          <w:szCs w:val="21"/>
        </w:rPr>
        <w:t xml:space="preserve">  </w:t>
      </w:r>
      <w:r>
        <w:rPr>
          <w:rFonts w:hint="eastAsia"/>
          <w:color w:val="FF0000"/>
          <w:szCs w:val="21"/>
        </w:rPr>
        <w:t xml:space="preserve"> </w:t>
      </w:r>
      <w:r>
        <w:rPr>
          <w:rFonts w:hint="eastAsia"/>
          <w:color w:val="FF0000"/>
          <w:szCs w:val="21"/>
          <w:u w:val="single"/>
        </w:rPr>
        <w:t xml:space="preserve">         </w:t>
      </w:r>
      <w:r>
        <w:rPr>
          <w:rFonts w:hint="eastAsia"/>
          <w:color w:val="FF0000"/>
          <w:szCs w:val="21"/>
        </w:rPr>
        <w:t>同志，现任我单位</w:t>
      </w:r>
      <w:r>
        <w:rPr>
          <w:rFonts w:hint="eastAsia"/>
          <w:color w:val="FF0000"/>
          <w:szCs w:val="21"/>
          <w:u w:val="single"/>
        </w:rPr>
        <w:t xml:space="preserve">         </w:t>
      </w:r>
      <w:r>
        <w:rPr>
          <w:rFonts w:hint="eastAsia"/>
          <w:color w:val="FF0000"/>
          <w:szCs w:val="21"/>
        </w:rPr>
        <w:t>职务</w:t>
      </w:r>
      <w:r>
        <w:rPr>
          <w:rFonts w:hint="eastAsia"/>
          <w:szCs w:val="21"/>
        </w:rPr>
        <w:t>，为法定代表人，特此证明。</w:t>
      </w:r>
    </w:p>
    <w:p>
      <w:pPr>
        <w:spacing w:line="360" w:lineRule="auto"/>
        <w:rPr>
          <w:szCs w:val="21"/>
        </w:rPr>
      </w:pPr>
      <w:r>
        <w:rPr>
          <w:rFonts w:hint="eastAsia"/>
          <w:szCs w:val="21"/>
        </w:rPr>
        <w:t xml:space="preserve">         </w:t>
      </w:r>
    </w:p>
    <w:p>
      <w:pPr>
        <w:spacing w:line="360" w:lineRule="auto"/>
        <w:rPr>
          <w:szCs w:val="21"/>
        </w:rPr>
      </w:pPr>
      <w:r>
        <w:rPr>
          <w:rFonts w:hint="eastAsia"/>
          <w:szCs w:val="21"/>
        </w:rPr>
        <w:t>说明：1、法定代表人为企业事业单位、国家机关、社会团体的主要行政负责人。</w:t>
      </w:r>
    </w:p>
    <w:p>
      <w:pPr>
        <w:rPr>
          <w:szCs w:val="21"/>
        </w:rPr>
      </w:pPr>
      <w:r>
        <w:rPr>
          <w:rFonts w:hint="eastAsia"/>
          <w:szCs w:val="21"/>
        </w:rPr>
        <w:t xml:space="preserve">      2、内容必须填写真实、清楚，涂改无效，不得转让、买卖。</w:t>
      </w:r>
    </w:p>
    <w:p>
      <w:pPr>
        <w:rPr>
          <w:sz w:val="24"/>
        </w:rPr>
      </w:pPr>
    </w:p>
    <w:p>
      <w:pPr>
        <w:spacing w:line="360" w:lineRule="auto"/>
        <w:rPr>
          <w:b/>
          <w:color w:val="FF0000"/>
          <w:szCs w:val="21"/>
        </w:rPr>
      </w:pPr>
      <w:r>
        <w:rPr>
          <w:rFonts w:hint="eastAsia"/>
          <w:b/>
          <w:color w:val="FF0000"/>
          <w:szCs w:val="21"/>
        </w:rPr>
        <w:t>附： 请提供法定代表人身份证扫描件（正反两面）。</w:t>
      </w:r>
    </w:p>
    <w:p>
      <w:pPr>
        <w:rPr>
          <w:b/>
          <w:bCs/>
          <w:sz w:val="24"/>
        </w:rPr>
      </w:pPr>
    </w:p>
    <w:p>
      <w:pPr>
        <w:pStyle w:val="3"/>
        <w:spacing w:before="120" w:after="120"/>
        <w:jc w:val="center"/>
        <w:rPr>
          <w:rFonts w:ascii="黑体" w:eastAsia="黑体"/>
          <w:b w:val="0"/>
          <w:sz w:val="24"/>
        </w:rPr>
      </w:pPr>
      <w:r>
        <w:rPr>
          <w:rFonts w:hint="eastAsia" w:ascii="黑体" w:eastAsia="黑体"/>
          <w:b w:val="0"/>
          <w:sz w:val="24"/>
        </w:rPr>
        <w:t>二、投标文件签署授权委托书</w:t>
      </w:r>
    </w:p>
    <w:p>
      <w:pPr>
        <w:spacing w:line="360" w:lineRule="auto"/>
        <w:ind w:firstLine="420" w:firstLineChars="200"/>
        <w:rPr>
          <w:szCs w:val="21"/>
        </w:rPr>
      </w:pPr>
      <w:r>
        <w:rPr>
          <w:rFonts w:hint="eastAsia"/>
          <w:szCs w:val="21"/>
        </w:rPr>
        <w:t>本授权委托书声明</w:t>
      </w:r>
      <w:r>
        <w:rPr>
          <w:rFonts w:hint="eastAsia"/>
          <w:color w:val="FF0000"/>
          <w:szCs w:val="21"/>
        </w:rPr>
        <w:t>：我</w:t>
      </w:r>
      <w:r>
        <w:rPr>
          <w:rFonts w:hint="eastAsia"/>
          <w:color w:val="FF0000"/>
          <w:szCs w:val="21"/>
          <w:u w:val="single"/>
        </w:rPr>
        <w:t xml:space="preserve">           </w:t>
      </w:r>
      <w:r>
        <w:rPr>
          <w:rFonts w:hint="eastAsia"/>
          <w:color w:val="FF0000"/>
          <w:szCs w:val="21"/>
        </w:rPr>
        <w:t>（姓名）系</w:t>
      </w:r>
      <w:r>
        <w:rPr>
          <w:rFonts w:hint="eastAsia"/>
          <w:color w:val="FF0000"/>
          <w:szCs w:val="21"/>
          <w:u w:val="single"/>
        </w:rPr>
        <w:t xml:space="preserve">             </w:t>
      </w:r>
      <w:r>
        <w:rPr>
          <w:rFonts w:hint="eastAsia"/>
          <w:color w:val="FF0000"/>
          <w:szCs w:val="21"/>
        </w:rPr>
        <w:t>（投标人名称）</w:t>
      </w:r>
      <w:r>
        <w:rPr>
          <w:rFonts w:hint="eastAsia"/>
          <w:szCs w:val="21"/>
        </w:rPr>
        <w:t>的法定代表人，现授权委托</w:t>
      </w:r>
      <w:r>
        <w:rPr>
          <w:rFonts w:hint="eastAsia"/>
          <w:color w:val="FF0000"/>
          <w:szCs w:val="21"/>
          <w:u w:val="single"/>
        </w:rPr>
        <w:t xml:space="preserve">            </w:t>
      </w:r>
      <w:r>
        <w:rPr>
          <w:rFonts w:hint="eastAsia"/>
          <w:color w:val="FF0000"/>
          <w:szCs w:val="21"/>
        </w:rPr>
        <w:t>（姓名）</w:t>
      </w:r>
      <w:r>
        <w:rPr>
          <w:rFonts w:hint="eastAsia"/>
          <w:szCs w:val="21"/>
        </w:rPr>
        <w:t>为我公司签署本项目已递交的投标文件的法定代表人的授权委托代理人，代理人全权代表我所签署的本项目已递交的投标文件内容我均承认。</w:t>
      </w:r>
    </w:p>
    <w:p>
      <w:pPr>
        <w:pStyle w:val="7"/>
        <w:spacing w:line="360" w:lineRule="auto"/>
        <w:rPr>
          <w:szCs w:val="21"/>
        </w:rPr>
      </w:pPr>
      <w:r>
        <w:rPr>
          <w:rFonts w:hint="eastAsia"/>
          <w:szCs w:val="21"/>
        </w:rPr>
        <w:t>代理人无转委托权，特此委托。</w:t>
      </w:r>
    </w:p>
    <w:p>
      <w:pPr>
        <w:pStyle w:val="7"/>
        <w:spacing w:line="360" w:lineRule="auto"/>
        <w:rPr>
          <w:szCs w:val="21"/>
        </w:rPr>
      </w:pPr>
    </w:p>
    <w:p>
      <w:pPr>
        <w:spacing w:line="360" w:lineRule="auto"/>
        <w:ind w:left="540" w:leftChars="257"/>
        <w:rPr>
          <w:color w:val="FF0000"/>
          <w:szCs w:val="21"/>
          <w:u w:val="single"/>
        </w:rPr>
      </w:pPr>
      <w:r>
        <w:rPr>
          <w:rFonts w:hint="eastAsia"/>
          <w:color w:val="FF0000"/>
          <w:szCs w:val="21"/>
        </w:rPr>
        <w:t>代理人：</w:t>
      </w:r>
      <w:r>
        <w:rPr>
          <w:rFonts w:hint="eastAsia"/>
          <w:color w:val="FF0000"/>
          <w:szCs w:val="21"/>
          <w:u w:val="single"/>
        </w:rPr>
        <w:t xml:space="preserve">             </w:t>
      </w:r>
    </w:p>
    <w:p>
      <w:pPr>
        <w:spacing w:line="360" w:lineRule="auto"/>
        <w:ind w:left="540" w:leftChars="257"/>
        <w:rPr>
          <w:color w:val="FF0000"/>
          <w:szCs w:val="21"/>
        </w:rPr>
      </w:pPr>
      <w:r>
        <w:rPr>
          <w:rFonts w:hint="eastAsia"/>
          <w:color w:val="FF0000"/>
          <w:szCs w:val="21"/>
        </w:rPr>
        <w:t>联系电话：</w:t>
      </w:r>
      <w:r>
        <w:rPr>
          <w:rFonts w:hint="eastAsia"/>
          <w:color w:val="FF0000"/>
          <w:szCs w:val="21"/>
          <w:u w:val="single"/>
        </w:rPr>
        <w:t xml:space="preserve">            </w:t>
      </w:r>
      <w:r>
        <w:rPr>
          <w:rFonts w:hint="eastAsia"/>
          <w:color w:val="FF0000"/>
          <w:szCs w:val="21"/>
        </w:rPr>
        <w:t xml:space="preserve">  手机：</w:t>
      </w:r>
      <w:r>
        <w:rPr>
          <w:rFonts w:hint="eastAsia"/>
          <w:color w:val="FF0000"/>
          <w:szCs w:val="21"/>
          <w:u w:val="single"/>
        </w:rPr>
        <w:t xml:space="preserve">                </w:t>
      </w:r>
      <w:r>
        <w:rPr>
          <w:rFonts w:hint="eastAsia"/>
          <w:color w:val="FF0000"/>
          <w:szCs w:val="21"/>
        </w:rPr>
        <w:t xml:space="preserve"> 邮箱：</w:t>
      </w:r>
      <w:r>
        <w:rPr>
          <w:rFonts w:hint="eastAsia"/>
          <w:color w:val="FF0000"/>
          <w:szCs w:val="21"/>
          <w:u w:val="single"/>
        </w:rPr>
        <w:t xml:space="preserve">              </w:t>
      </w:r>
    </w:p>
    <w:p>
      <w:pPr>
        <w:spacing w:line="360" w:lineRule="auto"/>
        <w:ind w:left="540" w:leftChars="257"/>
        <w:rPr>
          <w:color w:val="FF0000"/>
          <w:szCs w:val="21"/>
          <w:u w:val="single"/>
        </w:rPr>
      </w:pPr>
      <w:r>
        <w:rPr>
          <w:rFonts w:hint="eastAsia"/>
          <w:color w:val="FF0000"/>
          <w:szCs w:val="21"/>
        </w:rPr>
        <w:t>身份证号码：</w:t>
      </w:r>
      <w:r>
        <w:rPr>
          <w:rFonts w:hint="eastAsia"/>
          <w:color w:val="FF0000"/>
          <w:szCs w:val="21"/>
          <w:u w:val="single"/>
        </w:rPr>
        <w:t xml:space="preserve">                        </w:t>
      </w:r>
      <w:r>
        <w:rPr>
          <w:rFonts w:hint="eastAsia"/>
          <w:color w:val="FF0000"/>
          <w:szCs w:val="21"/>
        </w:rPr>
        <w:t>职务：</w:t>
      </w:r>
      <w:r>
        <w:rPr>
          <w:rFonts w:hint="eastAsia"/>
          <w:color w:val="FF0000"/>
          <w:szCs w:val="21"/>
          <w:u w:val="single"/>
        </w:rPr>
        <w:t xml:space="preserve">       </w:t>
      </w:r>
    </w:p>
    <w:p>
      <w:pPr>
        <w:spacing w:line="360" w:lineRule="auto"/>
        <w:ind w:left="540" w:leftChars="257"/>
        <w:rPr>
          <w:szCs w:val="21"/>
        </w:rPr>
      </w:pPr>
      <w:r>
        <w:rPr>
          <w:rFonts w:hint="eastAsia"/>
          <w:color w:val="FF0000"/>
          <w:szCs w:val="21"/>
        </w:rPr>
        <w:t>授权委托日期：</w:t>
      </w:r>
      <w:r>
        <w:rPr>
          <w:rFonts w:hint="eastAsia"/>
          <w:color w:val="FF0000"/>
          <w:szCs w:val="21"/>
          <w:u w:val="single"/>
        </w:rPr>
        <w:t xml:space="preserve">         </w:t>
      </w:r>
      <w:r>
        <w:rPr>
          <w:rFonts w:hint="eastAsia"/>
          <w:color w:val="FF0000"/>
          <w:szCs w:val="21"/>
        </w:rPr>
        <w:t>年</w:t>
      </w:r>
      <w:r>
        <w:rPr>
          <w:rFonts w:hint="eastAsia"/>
          <w:color w:val="FF0000"/>
          <w:szCs w:val="21"/>
          <w:u w:val="single"/>
        </w:rPr>
        <w:t xml:space="preserve">     </w:t>
      </w:r>
      <w:r>
        <w:rPr>
          <w:rFonts w:hint="eastAsia"/>
          <w:color w:val="FF0000"/>
          <w:szCs w:val="21"/>
        </w:rPr>
        <w:t xml:space="preserve">月 </w:t>
      </w:r>
      <w:r>
        <w:rPr>
          <w:rFonts w:hint="eastAsia"/>
          <w:color w:val="FF0000"/>
          <w:szCs w:val="21"/>
          <w:u w:val="single"/>
        </w:rPr>
        <w:t xml:space="preserve">      </w:t>
      </w:r>
      <w:r>
        <w:rPr>
          <w:rFonts w:hint="eastAsia"/>
          <w:color w:val="FF0000"/>
          <w:szCs w:val="21"/>
        </w:rPr>
        <w:t>日</w:t>
      </w:r>
    </w:p>
    <w:p/>
    <w:p>
      <w:pPr>
        <w:spacing w:line="360" w:lineRule="auto"/>
        <w:rPr>
          <w:b/>
          <w:color w:val="FF0000"/>
          <w:szCs w:val="21"/>
        </w:rPr>
      </w:pPr>
      <w:r>
        <w:rPr>
          <w:rFonts w:hint="eastAsia"/>
          <w:b/>
          <w:color w:val="FF0000"/>
          <w:szCs w:val="21"/>
        </w:rPr>
        <w:t>附： 请提供授权委托代理人身份证扫描件（正反两面）。</w:t>
      </w:r>
    </w:p>
    <w:bookmarkEnd w:id="31"/>
    <w:p>
      <w:pPr>
        <w:spacing w:line="360" w:lineRule="auto"/>
        <w:rPr>
          <w:b/>
          <w:szCs w:val="21"/>
        </w:rPr>
      </w:pPr>
    </w:p>
    <w:p>
      <w:pPr>
        <w:pStyle w:val="3"/>
        <w:jc w:val="center"/>
        <w:rPr>
          <w:rFonts w:ascii="黑体" w:eastAsia="黑体"/>
          <w:b w:val="0"/>
          <w:kern w:val="0"/>
          <w:sz w:val="24"/>
          <w:szCs w:val="24"/>
        </w:rPr>
      </w:pPr>
      <w:r>
        <w:rPr>
          <w:rFonts w:hint="eastAsia" w:ascii="黑体" w:eastAsia="黑体"/>
          <w:b w:val="0"/>
          <w:kern w:val="0"/>
          <w:sz w:val="24"/>
          <w:szCs w:val="24"/>
        </w:rPr>
        <w:t>三、实质性条款响应情况表</w:t>
      </w:r>
    </w:p>
    <w:tbl>
      <w:tblPr>
        <w:tblStyle w:val="4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464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4648"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3260"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4648" w:type="dxa"/>
          </w:tcPr>
          <w:p>
            <w:pPr>
              <w:adjustRightInd w:val="0"/>
              <w:snapToGrid w:val="0"/>
              <w:spacing w:line="360" w:lineRule="auto"/>
              <w:rPr>
                <w:rFonts w:hAnsi="宋体"/>
                <w:kern w:val="0"/>
                <w:szCs w:val="21"/>
              </w:rPr>
            </w:pPr>
            <w:r>
              <w:rPr>
                <w:rFonts w:hint="eastAsia" w:hAnsi="宋体"/>
                <w:kern w:val="0"/>
                <w:szCs w:val="21"/>
              </w:rPr>
              <w:t>投标文件载明的交货期不超过招标文件规定的期限</w:t>
            </w:r>
          </w:p>
        </w:tc>
        <w:tc>
          <w:tcPr>
            <w:tcW w:w="3260"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4648" w:type="dxa"/>
          </w:tcPr>
          <w:p>
            <w:pPr>
              <w:adjustRightInd w:val="0"/>
              <w:snapToGrid w:val="0"/>
              <w:spacing w:line="360" w:lineRule="auto"/>
              <w:rPr>
                <w:rFonts w:hAnsi="宋体"/>
                <w:kern w:val="0"/>
                <w:szCs w:val="21"/>
              </w:rPr>
            </w:pPr>
            <w:r>
              <w:rPr>
                <w:rFonts w:hint="eastAsia" w:hAnsi="宋体"/>
                <w:kern w:val="0"/>
                <w:szCs w:val="21"/>
              </w:rPr>
              <w:t>投标文件载明的免费保修期不低于招标文件规定的期限</w:t>
            </w:r>
          </w:p>
        </w:tc>
        <w:tc>
          <w:tcPr>
            <w:tcW w:w="3260"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3</w:t>
            </w:r>
          </w:p>
        </w:tc>
        <w:tc>
          <w:tcPr>
            <w:tcW w:w="4648" w:type="dxa"/>
          </w:tcPr>
          <w:p>
            <w:pPr>
              <w:adjustRightInd w:val="0"/>
              <w:snapToGrid w:val="0"/>
              <w:spacing w:line="360" w:lineRule="auto"/>
              <w:rPr>
                <w:rFonts w:ascii="宋体" w:hAnsi="宋体"/>
                <w:kern w:val="0"/>
                <w:szCs w:val="21"/>
              </w:rPr>
            </w:pPr>
            <w:r>
              <w:rPr>
                <w:rFonts w:hint="eastAsia" w:hAnsi="宋体"/>
                <w:kern w:val="0"/>
                <w:szCs w:val="21"/>
              </w:rPr>
              <w:t>具体技术要求、商务需求中带“★”要求</w:t>
            </w:r>
          </w:p>
        </w:tc>
        <w:tc>
          <w:tcPr>
            <w:tcW w:w="3260" w:type="dxa"/>
          </w:tcPr>
          <w:p>
            <w:pPr>
              <w:adjustRightInd w:val="0"/>
              <w:snapToGrid w:val="0"/>
              <w:spacing w:line="360" w:lineRule="auto"/>
              <w:rPr>
                <w:rFonts w:ascii="宋体" w:hAnsi="宋体"/>
                <w:kern w:val="0"/>
                <w:szCs w:val="21"/>
              </w:rPr>
            </w:pPr>
          </w:p>
        </w:tc>
      </w:tr>
    </w:tbl>
    <w:p>
      <w:pPr>
        <w:spacing w:line="360" w:lineRule="auto"/>
        <w:rPr>
          <w:b/>
        </w:rPr>
      </w:pPr>
      <w:r>
        <w:rPr>
          <w:rFonts w:hint="eastAsia"/>
          <w:b/>
        </w:rPr>
        <w:t>注：1. 上表所列内容为不可负偏离条款。</w:t>
      </w:r>
    </w:p>
    <w:p>
      <w:pPr>
        <w:spacing w:line="360" w:lineRule="auto"/>
        <w:ind w:firstLine="422" w:firstLineChars="200"/>
        <w:rPr>
          <w:b/>
        </w:rPr>
      </w:pPr>
      <w:r>
        <w:rPr>
          <w:rFonts w:hint="eastAsia"/>
          <w:b/>
        </w:rPr>
        <w:t>2.“投标人响应情况”一栏应如实填写“响应”或“不响应”。</w:t>
      </w:r>
    </w:p>
    <w:p>
      <w:pPr>
        <w:spacing w:line="360" w:lineRule="auto"/>
        <w:ind w:firstLine="422" w:firstLineChars="200"/>
        <w:rPr>
          <w:b/>
        </w:rPr>
      </w:pPr>
      <w:r>
        <w:rPr>
          <w:rFonts w:hint="eastAsia"/>
          <w:b/>
        </w:rPr>
        <w:t>3. “实质性响应条款响应情况”与投标文件其它内容冲突的，以“实质性响应条款响应情况”为准。</w:t>
      </w:r>
    </w:p>
    <w:p>
      <w:pPr>
        <w:spacing w:line="360" w:lineRule="auto"/>
        <w:rPr>
          <w:b/>
          <w:szCs w:val="21"/>
        </w:rPr>
      </w:pPr>
    </w:p>
    <w:p>
      <w:pPr>
        <w:pStyle w:val="3"/>
        <w:jc w:val="center"/>
        <w:rPr>
          <w:rFonts w:ascii="黑体" w:eastAsia="黑体"/>
          <w:b w:val="0"/>
          <w:sz w:val="24"/>
          <w:szCs w:val="24"/>
        </w:rPr>
      </w:pPr>
      <w:r>
        <w:rPr>
          <w:rFonts w:hint="eastAsia" w:ascii="黑体" w:eastAsia="黑体"/>
          <w:b w:val="0"/>
          <w:sz w:val="24"/>
          <w:szCs w:val="24"/>
        </w:rPr>
        <w:t>四、项目实施方案</w:t>
      </w:r>
    </w:p>
    <w:p>
      <w:pPr>
        <w:rPr>
          <w:sz w:val="24"/>
        </w:rPr>
      </w:pPr>
      <w:r>
        <w:rPr>
          <w:rFonts w:hint="eastAsia"/>
          <w:sz w:val="24"/>
        </w:rPr>
        <w:t>主要内容应包括(根据项目实际情况适当调整内容)：</w:t>
      </w:r>
    </w:p>
    <w:p>
      <w:pPr>
        <w:rPr>
          <w:sz w:val="24"/>
        </w:rPr>
      </w:pPr>
    </w:p>
    <w:p>
      <w:pPr>
        <w:rPr>
          <w:sz w:val="24"/>
        </w:rPr>
      </w:pPr>
      <w:r>
        <w:rPr>
          <w:rFonts w:hint="eastAsia"/>
          <w:sz w:val="24"/>
        </w:rPr>
        <w:t>1、项目交货期、实施进度表</w:t>
      </w:r>
    </w:p>
    <w:p>
      <w:pPr>
        <w:rPr>
          <w:sz w:val="24"/>
        </w:rPr>
      </w:pPr>
      <w:r>
        <w:rPr>
          <w:rFonts w:hint="eastAsia"/>
          <w:sz w:val="24"/>
        </w:rPr>
        <w:t>2、相关配套措施</w:t>
      </w:r>
    </w:p>
    <w:p>
      <w:pPr>
        <w:rPr>
          <w:b/>
          <w:bCs/>
          <w:color w:val="FF0000"/>
          <w:sz w:val="24"/>
        </w:rPr>
      </w:pPr>
      <w:r>
        <w:rPr>
          <w:rFonts w:hint="eastAsia"/>
          <w:b/>
          <w:bCs/>
          <w:color w:val="FF0000"/>
          <w:sz w:val="24"/>
        </w:rPr>
        <w:t>（备注：该部分须与“技术保障措施”、“施工安全保障措施”、“商务需求”等部分承诺的内容相呼应，不得前后矛盾。）</w:t>
      </w:r>
    </w:p>
    <w:p>
      <w:pPr>
        <w:rPr>
          <w:b/>
          <w:bCs/>
          <w:sz w:val="24"/>
        </w:rPr>
      </w:pPr>
    </w:p>
    <w:p>
      <w:pPr>
        <w:pStyle w:val="3"/>
        <w:jc w:val="center"/>
        <w:rPr>
          <w:rFonts w:ascii="黑体" w:eastAsia="黑体"/>
          <w:b w:val="0"/>
          <w:sz w:val="24"/>
          <w:szCs w:val="24"/>
        </w:rPr>
      </w:pPr>
      <w:r>
        <w:rPr>
          <w:rFonts w:hint="eastAsia" w:ascii="黑体" w:eastAsia="黑体"/>
          <w:b w:val="0"/>
          <w:sz w:val="24"/>
          <w:szCs w:val="24"/>
        </w:rPr>
        <w:t>五、售后服务方案</w:t>
      </w:r>
    </w:p>
    <w:p>
      <w:pPr>
        <w:rPr>
          <w:sz w:val="24"/>
        </w:rPr>
      </w:pPr>
    </w:p>
    <w:p>
      <w:pPr>
        <w:rPr>
          <w:sz w:val="24"/>
        </w:rPr>
      </w:pPr>
      <w:r>
        <w:rPr>
          <w:rFonts w:hint="eastAsia"/>
          <w:sz w:val="24"/>
        </w:rPr>
        <w:t>主要内容应包括(根据项目实际情况适当调整内容)：</w:t>
      </w:r>
    </w:p>
    <w:p>
      <w:pPr>
        <w:rPr>
          <w:sz w:val="24"/>
        </w:rPr>
      </w:pPr>
      <w:r>
        <w:rPr>
          <w:sz w:val="24"/>
        </w:rPr>
        <w:t>1</w:t>
      </w:r>
      <w:r>
        <w:rPr>
          <w:rFonts w:hint="eastAsia"/>
          <w:sz w:val="24"/>
        </w:rPr>
        <w:t>、免费保修期；</w:t>
      </w:r>
    </w:p>
    <w:p>
      <w:pPr>
        <w:rPr>
          <w:sz w:val="24"/>
        </w:rPr>
      </w:pPr>
      <w:r>
        <w:rPr>
          <w:sz w:val="24"/>
        </w:rPr>
        <w:t>2</w:t>
      </w:r>
      <w:r>
        <w:rPr>
          <w:rFonts w:hint="eastAsia"/>
          <w:sz w:val="24"/>
        </w:rPr>
        <w:t>、故障或技术支持响应时间；</w:t>
      </w:r>
    </w:p>
    <w:p>
      <w:pPr>
        <w:rPr>
          <w:sz w:val="24"/>
        </w:rPr>
      </w:pPr>
      <w:r>
        <w:rPr>
          <w:sz w:val="24"/>
        </w:rPr>
        <w:t>3</w:t>
      </w:r>
      <w:r>
        <w:rPr>
          <w:rFonts w:hint="eastAsia"/>
          <w:sz w:val="24"/>
        </w:rPr>
        <w:t>、投标人承诺的其他维修维护方案、措施</w:t>
      </w:r>
    </w:p>
    <w:p>
      <w:pPr>
        <w:rPr>
          <w:sz w:val="24"/>
        </w:rPr>
      </w:pPr>
      <w:r>
        <w:rPr>
          <w:sz w:val="24"/>
        </w:rPr>
        <w:t>4</w:t>
      </w:r>
      <w:r>
        <w:rPr>
          <w:rFonts w:hint="eastAsia"/>
          <w:sz w:val="24"/>
        </w:rPr>
        <w:t>、质量保证及违约承诺。</w:t>
      </w:r>
    </w:p>
    <w:p>
      <w:pPr>
        <w:rPr>
          <w:b/>
          <w:color w:val="FF0000"/>
          <w:sz w:val="24"/>
        </w:rPr>
      </w:pPr>
      <w:r>
        <w:rPr>
          <w:rFonts w:hint="eastAsia"/>
          <w:b/>
          <w:color w:val="FF0000"/>
          <w:sz w:val="24"/>
        </w:rPr>
        <w:t>（备注：该部分须与“商务需求”承诺的内容相呼应，不得前后矛盾。）</w:t>
      </w:r>
    </w:p>
    <w:p/>
    <w:p/>
    <w:p/>
    <w:p/>
    <w:p>
      <w:pPr>
        <w:pStyle w:val="5"/>
      </w:pPr>
      <w:r>
        <w:rPr>
          <w:rFonts w:hint="eastAsia"/>
        </w:rPr>
        <w:t>第四章  合同及履约情况反馈格式</w:t>
      </w:r>
    </w:p>
    <w:p>
      <w:pPr>
        <w:ind w:firstLine="411" w:firstLineChars="196"/>
      </w:pPr>
    </w:p>
    <w:p>
      <w:pPr>
        <w:pStyle w:val="3"/>
        <w:jc w:val="center"/>
        <w:rPr>
          <w:rFonts w:ascii="黑体" w:eastAsia="黑体"/>
          <w:b w:val="0"/>
          <w:kern w:val="0"/>
          <w:sz w:val="24"/>
          <w:szCs w:val="24"/>
        </w:rPr>
      </w:pPr>
      <w:r>
        <w:rPr>
          <w:rFonts w:hint="eastAsia" w:ascii="黑体" w:eastAsia="黑体"/>
          <w:b w:val="0"/>
          <w:kern w:val="0"/>
          <w:sz w:val="24"/>
          <w:szCs w:val="24"/>
        </w:rPr>
        <w:t>一、合同条款及格式（仅供参考）</w:t>
      </w:r>
    </w:p>
    <w:p>
      <w:pPr>
        <w:ind w:firstLine="470" w:firstLineChars="196"/>
        <w:jc w:val="center"/>
        <w:rPr>
          <w:sz w:val="24"/>
        </w:rPr>
      </w:pPr>
      <w:bookmarkStart w:id="32" w:name="_Toc84303603"/>
      <w:bookmarkStart w:id="33" w:name="_Toc73517685"/>
      <w:bookmarkStart w:id="34" w:name="_Toc73521680"/>
      <w:bookmarkStart w:id="35" w:name="_Toc100052414"/>
      <w:bookmarkStart w:id="36" w:name="_Toc73518163"/>
      <w:bookmarkStart w:id="37" w:name="_Toc73521592"/>
      <w:bookmarkStart w:id="38" w:name="_Toc101074886"/>
    </w:p>
    <w:p>
      <w:pPr>
        <w:ind w:firstLine="470" w:firstLineChars="196"/>
        <w:jc w:val="center"/>
        <w:rPr>
          <w:sz w:val="24"/>
        </w:rPr>
      </w:pPr>
    </w:p>
    <w:p>
      <w:pPr>
        <w:jc w:val="center"/>
        <w:rPr>
          <w:b/>
          <w:sz w:val="24"/>
        </w:rPr>
      </w:pPr>
      <w:r>
        <w:rPr>
          <w:rFonts w:hint="eastAsia"/>
          <w:b/>
          <w:sz w:val="24"/>
        </w:rPr>
        <w:t>合同条款</w:t>
      </w:r>
      <w:bookmarkEnd w:id="32"/>
      <w:bookmarkEnd w:id="33"/>
      <w:bookmarkEnd w:id="34"/>
      <w:bookmarkEnd w:id="35"/>
      <w:bookmarkEnd w:id="36"/>
      <w:bookmarkEnd w:id="37"/>
      <w:bookmarkEnd w:id="38"/>
    </w:p>
    <w:p>
      <w:pPr>
        <w:jc w:val="center"/>
      </w:pPr>
      <w:r>
        <w:rPr>
          <w:rFonts w:hint="eastAsia"/>
          <w:b/>
          <w:sz w:val="24"/>
        </w:rPr>
        <w:t>（仅供参考，项目具体要求以招标项目需求为准）</w:t>
      </w:r>
    </w:p>
    <w:p>
      <w:pPr>
        <w:rPr>
          <w:rFonts w:ascii="宋体" w:hAnsi="宋体"/>
          <w:b/>
          <w:bCs/>
          <w:szCs w:val="21"/>
        </w:rPr>
      </w:pPr>
      <w:r>
        <w:rPr>
          <w:rFonts w:hint="eastAsia" w:ascii="宋体" w:hAnsi="宋体"/>
          <w:b/>
          <w:bCs/>
          <w:szCs w:val="21"/>
        </w:rPr>
        <w:t>甲方：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szCs w:val="21"/>
        </w:rPr>
      </w:pPr>
    </w:p>
    <w:p>
      <w:pPr>
        <w:rPr>
          <w:rFonts w:ascii="宋体" w:hAnsi="宋体"/>
          <w:szCs w:val="21"/>
        </w:rPr>
      </w:pPr>
    </w:p>
    <w:p>
      <w:pPr>
        <w:spacing w:line="360" w:lineRule="auto"/>
        <w:ind w:firstLine="560"/>
        <w:jc w:val="left"/>
        <w:rPr>
          <w:szCs w:val="21"/>
        </w:rPr>
      </w:pPr>
      <w:r>
        <w:rPr>
          <w:rFonts w:hint="eastAsia"/>
          <w:szCs w:val="21"/>
        </w:rPr>
        <w:t>根据深圳公共资源交易中心（深圳交易集团有限公司政府采购业务分公司）</w:t>
      </w:r>
      <w:r>
        <w:rPr>
          <w:rFonts w:hint="eastAsia"/>
          <w:szCs w:val="21"/>
          <w:u w:val="single"/>
        </w:rPr>
        <w:t xml:space="preserve">        </w:t>
      </w:r>
      <w:r>
        <w:rPr>
          <w:rFonts w:hint="eastAsia"/>
          <w:szCs w:val="21"/>
        </w:rPr>
        <w:t>号招标项目的投标结果，由</w:t>
      </w:r>
      <w:r>
        <w:rPr>
          <w:rFonts w:hint="eastAsia"/>
          <w:szCs w:val="21"/>
          <w:u w:val="single"/>
        </w:rPr>
        <w:t xml:space="preserve">       </w:t>
      </w:r>
      <w:r>
        <w:rPr>
          <w:rFonts w:hint="eastAsia"/>
          <w:szCs w:val="21"/>
        </w:rPr>
        <w:t>单位为中标方。按照《中华人民共和国民法典》（第三编 合同）和《深圳经济特区政府采购条例》，经深圳市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pPr>
        <w:spacing w:line="360" w:lineRule="auto"/>
        <w:ind w:firstLine="560"/>
        <w:jc w:val="left"/>
        <w:rPr>
          <w:b/>
          <w:szCs w:val="21"/>
        </w:rPr>
      </w:pPr>
      <w:r>
        <w:rPr>
          <w:rFonts w:hint="eastAsia"/>
          <w:b/>
          <w:szCs w:val="21"/>
        </w:rPr>
        <w:t>第一条  合同标的</w:t>
      </w:r>
    </w:p>
    <w:p>
      <w:pPr>
        <w:spacing w:line="360" w:lineRule="auto"/>
        <w:ind w:firstLine="560"/>
        <w:jc w:val="left"/>
        <w:rPr>
          <w:szCs w:val="21"/>
        </w:rPr>
      </w:pPr>
      <w:r>
        <w:rPr>
          <w:rFonts w:hint="eastAsia"/>
          <w:szCs w:val="21"/>
        </w:rPr>
        <w:t>乙方根据甲方需求提供下列货物：</w:t>
      </w:r>
    </w:p>
    <w:p>
      <w:pPr>
        <w:spacing w:line="360" w:lineRule="auto"/>
        <w:ind w:firstLine="560"/>
        <w:jc w:val="left"/>
        <w:rPr>
          <w:szCs w:val="21"/>
        </w:rPr>
      </w:pPr>
      <w:r>
        <w:rPr>
          <w:rFonts w:hint="eastAsia"/>
          <w:szCs w:val="21"/>
        </w:rPr>
        <w:t>货物名称、规格及数量详见</w:t>
      </w:r>
      <w:r>
        <w:rPr>
          <w:rFonts w:hint="eastAsia"/>
          <w:b/>
          <w:szCs w:val="21"/>
          <w:u w:val="single"/>
        </w:rPr>
        <w:t xml:space="preserve">                  </w:t>
      </w:r>
      <w:r>
        <w:rPr>
          <w:rFonts w:hint="eastAsia"/>
          <w:szCs w:val="21"/>
        </w:rPr>
        <w:t>。</w:t>
      </w:r>
    </w:p>
    <w:p>
      <w:pPr>
        <w:spacing w:line="360" w:lineRule="auto"/>
        <w:ind w:firstLine="560"/>
        <w:jc w:val="left"/>
        <w:rPr>
          <w:b/>
          <w:szCs w:val="21"/>
        </w:rPr>
      </w:pPr>
      <w:r>
        <w:rPr>
          <w:rFonts w:hint="eastAsia"/>
          <w:b/>
          <w:szCs w:val="21"/>
        </w:rPr>
        <w:t>第二条  合同价款</w:t>
      </w:r>
    </w:p>
    <w:p>
      <w:pPr>
        <w:spacing w:line="360" w:lineRule="auto"/>
        <w:ind w:firstLine="560"/>
        <w:jc w:val="left"/>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pPr>
        <w:spacing w:line="360" w:lineRule="auto"/>
        <w:ind w:firstLine="560"/>
        <w:jc w:val="left"/>
        <w:rPr>
          <w:b/>
          <w:szCs w:val="21"/>
        </w:rPr>
      </w:pPr>
      <w:r>
        <w:rPr>
          <w:rFonts w:hint="eastAsia"/>
          <w:b/>
          <w:szCs w:val="21"/>
        </w:rPr>
        <w:t>第三条  权利保证</w:t>
      </w:r>
    </w:p>
    <w:p>
      <w:pPr>
        <w:spacing w:line="360" w:lineRule="auto"/>
        <w:ind w:firstLine="560"/>
        <w:jc w:val="left"/>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560"/>
        <w:jc w:val="left"/>
        <w:rPr>
          <w:b/>
          <w:szCs w:val="21"/>
        </w:rPr>
      </w:pPr>
      <w:r>
        <w:rPr>
          <w:rFonts w:hint="eastAsia"/>
          <w:b/>
          <w:szCs w:val="21"/>
        </w:rPr>
        <w:t>第四条  质量保证</w:t>
      </w:r>
    </w:p>
    <w:p>
      <w:pPr>
        <w:spacing w:line="360" w:lineRule="auto"/>
        <w:ind w:firstLine="560"/>
        <w:jc w:val="left"/>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spacing w:line="360" w:lineRule="auto"/>
        <w:ind w:firstLine="560"/>
        <w:jc w:val="left"/>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560"/>
        <w:jc w:val="left"/>
        <w:rPr>
          <w:rFonts w:ascii="宋体" w:hAnsi="宋体"/>
          <w:szCs w:val="21"/>
        </w:rPr>
      </w:pPr>
      <w:r>
        <w:rPr>
          <w:rFonts w:hint="eastAsia" w:ascii="宋体" w:hAnsi="宋体"/>
          <w:szCs w:val="21"/>
        </w:rPr>
        <w:t>3、乙方保证交货时一并提供货物的质量合格凭证或文件。</w:t>
      </w:r>
    </w:p>
    <w:p>
      <w:pPr>
        <w:spacing w:line="360" w:lineRule="auto"/>
        <w:ind w:firstLine="560"/>
        <w:jc w:val="left"/>
        <w:rPr>
          <w:rFonts w:ascii="宋体" w:hAnsi="宋体"/>
          <w:szCs w:val="21"/>
        </w:rPr>
      </w:pPr>
    </w:p>
    <w:p>
      <w:pPr>
        <w:spacing w:line="360" w:lineRule="auto"/>
        <w:ind w:firstLine="560"/>
        <w:jc w:val="left"/>
        <w:rPr>
          <w:rFonts w:ascii="宋体" w:hAnsi="宋体"/>
          <w:szCs w:val="21"/>
        </w:rPr>
      </w:pPr>
    </w:p>
    <w:p>
      <w:pPr>
        <w:spacing w:line="360" w:lineRule="auto"/>
        <w:ind w:firstLine="560"/>
        <w:jc w:val="left"/>
        <w:rPr>
          <w:b/>
          <w:szCs w:val="21"/>
        </w:rPr>
      </w:pPr>
      <w:r>
        <w:rPr>
          <w:rFonts w:hint="eastAsia"/>
          <w:b/>
          <w:szCs w:val="21"/>
        </w:rPr>
        <w:t>第五条  交货和验收</w:t>
      </w:r>
    </w:p>
    <w:p>
      <w:pPr>
        <w:spacing w:line="360" w:lineRule="auto"/>
        <w:ind w:firstLine="560"/>
        <w:jc w:val="left"/>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spacing w:line="360" w:lineRule="auto"/>
        <w:ind w:firstLine="560"/>
        <w:jc w:val="left"/>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560"/>
        <w:jc w:val="left"/>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560"/>
        <w:jc w:val="left"/>
        <w:rPr>
          <w:rFonts w:ascii="宋体" w:hAnsi="宋体"/>
          <w:szCs w:val="21"/>
        </w:rPr>
      </w:pPr>
      <w:r>
        <w:rPr>
          <w:rFonts w:hint="eastAsia" w:ascii="宋体" w:hAnsi="宋体"/>
          <w:szCs w:val="21"/>
        </w:rPr>
        <w:t>4、甲方应当在到货后的</w:t>
      </w:r>
      <w:r>
        <w:rPr>
          <w:rFonts w:hint="eastAsia" w:ascii="宋体" w:hAnsi="宋体"/>
          <w:szCs w:val="21"/>
          <w:u w:val="single"/>
        </w:rPr>
        <w:t xml:space="preserve">       </w:t>
      </w:r>
      <w:r>
        <w:rPr>
          <w:rFonts w:hint="eastAsia" w:ascii="宋体" w:hAnsi="宋体"/>
          <w:szCs w:val="21"/>
        </w:rPr>
        <w:t>个工作日内对货物进行验收；需要乙方对货物或系统进行安装调试的，甲方应在货物安装调试完毕后的</w:t>
      </w:r>
      <w:r>
        <w:rPr>
          <w:rFonts w:hint="eastAsia" w:ascii="宋体" w:hAnsi="宋体"/>
          <w:szCs w:val="21"/>
          <w:u w:val="single"/>
        </w:rPr>
        <w:t xml:space="preserve">       </w:t>
      </w:r>
      <w:r>
        <w:rPr>
          <w:rFonts w:hint="eastAsia" w:ascii="宋体" w:hAnsi="宋体"/>
          <w:szCs w:val="21"/>
        </w:rPr>
        <w:t>个工作日内进行质量验收。</w:t>
      </w:r>
    </w:p>
    <w:p>
      <w:pPr>
        <w:spacing w:line="360" w:lineRule="auto"/>
        <w:ind w:firstLine="560"/>
        <w:jc w:val="left"/>
        <w:rPr>
          <w:b/>
          <w:szCs w:val="21"/>
        </w:rPr>
      </w:pPr>
      <w:r>
        <w:rPr>
          <w:rFonts w:hint="eastAsia"/>
          <w:b/>
          <w:szCs w:val="21"/>
        </w:rPr>
        <w:t>第六条  保修及其他服务</w:t>
      </w:r>
    </w:p>
    <w:p>
      <w:pPr>
        <w:spacing w:line="360" w:lineRule="auto"/>
        <w:ind w:firstLine="560"/>
        <w:jc w:val="left"/>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spacing w:line="360" w:lineRule="auto"/>
        <w:ind w:firstLine="560"/>
        <w:jc w:val="left"/>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spacing w:line="360" w:lineRule="auto"/>
        <w:ind w:firstLine="560"/>
        <w:jc w:val="left"/>
        <w:rPr>
          <w:b/>
          <w:szCs w:val="21"/>
        </w:rPr>
      </w:pPr>
      <w:r>
        <w:rPr>
          <w:rFonts w:hint="eastAsia"/>
          <w:b/>
          <w:szCs w:val="21"/>
        </w:rPr>
        <w:t>第七条  履约保证金</w:t>
      </w:r>
    </w:p>
    <w:p>
      <w:pPr>
        <w:spacing w:line="360" w:lineRule="auto"/>
        <w:ind w:firstLine="560"/>
        <w:jc w:val="left"/>
        <w:rPr>
          <w:rFonts w:ascii="宋体" w:hAnsi="宋体"/>
          <w:szCs w:val="21"/>
        </w:rPr>
      </w:pPr>
      <w:r>
        <w:rPr>
          <w:rFonts w:hint="eastAsia" w:ascii="宋体" w:hAnsi="宋体"/>
          <w:szCs w:val="21"/>
        </w:rPr>
        <w:t>1、乙方应在签订本合同之日，向甲方或甲方指定的机构提交履约保证金_________元。</w:t>
      </w:r>
    </w:p>
    <w:p>
      <w:pPr>
        <w:spacing w:line="360" w:lineRule="auto"/>
        <w:ind w:firstLine="560"/>
        <w:jc w:val="left"/>
        <w:rPr>
          <w:rFonts w:ascii="宋体" w:hAnsi="宋体"/>
          <w:szCs w:val="21"/>
        </w:rPr>
      </w:pPr>
      <w:r>
        <w:rPr>
          <w:rFonts w:hint="eastAsia" w:ascii="宋体" w:hAnsi="宋体"/>
          <w:szCs w:val="21"/>
        </w:rPr>
        <w:t>2、如乙方未能履行合同规定的义务，甲方有权从履约保证金中取得补偿。</w:t>
      </w:r>
    </w:p>
    <w:p>
      <w:pPr>
        <w:spacing w:line="360" w:lineRule="auto"/>
        <w:ind w:firstLine="560"/>
        <w:jc w:val="left"/>
        <w:rPr>
          <w:rFonts w:ascii="宋体" w:hAnsi="宋体"/>
          <w:szCs w:val="21"/>
        </w:rPr>
      </w:pPr>
      <w:r>
        <w:rPr>
          <w:rFonts w:hint="eastAsia" w:ascii="宋体" w:hAnsi="宋体"/>
          <w:szCs w:val="21"/>
        </w:rPr>
        <w:t>3、甲方在乙方履行完毕本合同项下全部义务后______天内无息退还乙方。</w:t>
      </w:r>
    </w:p>
    <w:p>
      <w:pPr>
        <w:spacing w:line="360" w:lineRule="auto"/>
        <w:ind w:firstLine="560"/>
        <w:jc w:val="left"/>
        <w:rPr>
          <w:rFonts w:ascii="宋体" w:hAnsi="宋体"/>
          <w:szCs w:val="21"/>
        </w:rPr>
      </w:pPr>
    </w:p>
    <w:p>
      <w:pPr>
        <w:spacing w:line="360" w:lineRule="auto"/>
        <w:ind w:firstLine="560"/>
        <w:jc w:val="left"/>
        <w:rPr>
          <w:b/>
          <w:szCs w:val="21"/>
        </w:rPr>
      </w:pPr>
      <w:r>
        <w:rPr>
          <w:rFonts w:hint="eastAsia"/>
          <w:b/>
          <w:szCs w:val="21"/>
        </w:rPr>
        <w:t>第八条   货款支付</w:t>
      </w:r>
    </w:p>
    <w:p>
      <w:pPr>
        <w:spacing w:line="360" w:lineRule="auto"/>
        <w:ind w:firstLine="560"/>
        <w:jc w:val="left"/>
        <w:rPr>
          <w:szCs w:val="21"/>
        </w:rPr>
      </w:pPr>
    </w:p>
    <w:p>
      <w:pPr>
        <w:spacing w:line="360" w:lineRule="auto"/>
        <w:ind w:firstLine="560"/>
        <w:jc w:val="left"/>
        <w:rPr>
          <w:b/>
          <w:szCs w:val="21"/>
        </w:rPr>
      </w:pPr>
      <w:r>
        <w:rPr>
          <w:rFonts w:hint="eastAsia"/>
          <w:b/>
          <w:szCs w:val="21"/>
        </w:rPr>
        <w:t>第九条    违约责任</w:t>
      </w:r>
    </w:p>
    <w:p>
      <w:pPr>
        <w:spacing w:line="360" w:lineRule="auto"/>
        <w:ind w:firstLine="560"/>
        <w:jc w:val="left"/>
        <w:rPr>
          <w:rFonts w:ascii="宋体" w:hAnsi="宋体"/>
          <w:szCs w:val="21"/>
        </w:rPr>
      </w:pPr>
      <w:r>
        <w:rPr>
          <w:rFonts w:hint="eastAsia" w:ascii="宋体" w:hAnsi="宋体"/>
          <w:szCs w:val="21"/>
        </w:rPr>
        <w:t>１、甲方无正当理由拒收货物、拒付货物款的，由甲方向乙方偿付合同总价的【】%违约金。</w:t>
      </w:r>
    </w:p>
    <w:p>
      <w:pPr>
        <w:spacing w:line="360" w:lineRule="auto"/>
        <w:ind w:firstLine="560"/>
        <w:jc w:val="left"/>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spacing w:line="360" w:lineRule="auto"/>
        <w:ind w:firstLine="560"/>
        <w:jc w:val="left"/>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hint="eastAsia"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spacing w:line="360" w:lineRule="auto"/>
        <w:ind w:firstLine="560"/>
        <w:jc w:val="left"/>
        <w:rPr>
          <w:rFonts w:ascii="宋体" w:hAnsi="宋体"/>
          <w:szCs w:val="21"/>
        </w:rPr>
      </w:pPr>
      <w:r>
        <w:rPr>
          <w:rFonts w:hint="eastAsia" w:ascii="宋体" w:hAnsi="宋体"/>
          <w:szCs w:val="21"/>
        </w:rPr>
        <w:t>4、乙方所交付的货物品种、型号、规格不符合合同规定的，甲方有权拒收。甲方拒收的，乙方应向甲方支付货款总额【】%的违约金。</w:t>
      </w:r>
    </w:p>
    <w:p>
      <w:pPr>
        <w:spacing w:line="360" w:lineRule="auto"/>
        <w:ind w:firstLine="560"/>
        <w:jc w:val="left"/>
        <w:rPr>
          <w:rFonts w:ascii="宋体" w:hAnsi="宋体"/>
          <w:szCs w:val="21"/>
        </w:rPr>
      </w:pPr>
      <w:r>
        <w:rPr>
          <w:rFonts w:hint="eastAsia" w:ascii="宋体" w:hAnsi="宋体"/>
          <w:szCs w:val="21"/>
        </w:rPr>
        <w:t>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spacing w:line="360" w:lineRule="auto"/>
        <w:ind w:firstLine="560"/>
        <w:jc w:val="left"/>
        <w:rPr>
          <w:rFonts w:ascii="宋体" w:hAnsi="宋体"/>
          <w:szCs w:val="21"/>
        </w:rPr>
      </w:pPr>
      <w:r>
        <w:rPr>
          <w:rFonts w:hint="eastAsia" w:ascii="宋体" w:hAnsi="宋体"/>
          <w:szCs w:val="21"/>
        </w:rPr>
        <w:t>6、乙方未履行本合同项下的其他义务或违反其在投标文件中的相关承诺的，应按合同总价款的【】%向甲方承担违约责任。</w:t>
      </w:r>
    </w:p>
    <w:p>
      <w:pPr>
        <w:spacing w:line="360" w:lineRule="auto"/>
        <w:ind w:firstLine="560"/>
        <w:jc w:val="left"/>
        <w:rPr>
          <w:rFonts w:ascii="宋体" w:hAnsi="宋体"/>
          <w:szCs w:val="21"/>
        </w:rPr>
      </w:pPr>
      <w:r>
        <w:rPr>
          <w:rFonts w:hint="eastAsia" w:ascii="宋体" w:hAnsi="宋体"/>
          <w:szCs w:val="21"/>
        </w:rPr>
        <w:t>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560"/>
        <w:jc w:val="left"/>
        <w:rPr>
          <w:b/>
          <w:szCs w:val="21"/>
        </w:rPr>
      </w:pPr>
      <w:r>
        <w:rPr>
          <w:rFonts w:hint="eastAsia"/>
          <w:b/>
          <w:szCs w:val="21"/>
        </w:rPr>
        <w:t>第十条    合同的变更和终止</w:t>
      </w:r>
    </w:p>
    <w:p>
      <w:pPr>
        <w:spacing w:line="360" w:lineRule="auto"/>
        <w:ind w:firstLine="560"/>
        <w:jc w:val="left"/>
        <w:rPr>
          <w:rFonts w:ascii="宋体" w:hAnsi="宋体"/>
          <w:szCs w:val="21"/>
        </w:rPr>
      </w:pPr>
      <w:r>
        <w:rPr>
          <w:rFonts w:hint="eastAsia" w:ascii="宋体" w:hAnsi="宋体"/>
          <w:szCs w:val="21"/>
        </w:rPr>
        <w:t>除《中华人民共和国政府采购法》第４９条、第５０条第二款规定的情形外，本合同一经签订，甲乙双方不得擅自变更、中止或终止合同。</w:t>
      </w:r>
    </w:p>
    <w:p>
      <w:pPr>
        <w:spacing w:line="360" w:lineRule="auto"/>
        <w:ind w:firstLine="560"/>
        <w:jc w:val="left"/>
        <w:rPr>
          <w:b/>
          <w:szCs w:val="21"/>
        </w:rPr>
      </w:pPr>
      <w:r>
        <w:rPr>
          <w:rFonts w:hint="eastAsia"/>
          <w:b/>
          <w:szCs w:val="21"/>
        </w:rPr>
        <w:t>第十一条   争议的解决</w:t>
      </w:r>
    </w:p>
    <w:p>
      <w:pPr>
        <w:spacing w:line="360" w:lineRule="auto"/>
        <w:ind w:firstLine="560"/>
        <w:jc w:val="left"/>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60"/>
        <w:jc w:val="left"/>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spacing w:line="360" w:lineRule="auto"/>
        <w:ind w:firstLine="560"/>
        <w:jc w:val="left"/>
        <w:rPr>
          <w:b/>
          <w:szCs w:val="21"/>
        </w:rPr>
      </w:pPr>
      <w:r>
        <w:rPr>
          <w:rFonts w:hint="eastAsia"/>
          <w:b/>
          <w:szCs w:val="21"/>
        </w:rPr>
        <w:t>第十二条   合同生效及其他</w:t>
      </w:r>
    </w:p>
    <w:p>
      <w:pPr>
        <w:spacing w:line="360" w:lineRule="auto"/>
        <w:ind w:firstLine="560"/>
        <w:jc w:val="left"/>
        <w:rPr>
          <w:rFonts w:ascii="宋体" w:hAnsi="宋体"/>
          <w:szCs w:val="21"/>
        </w:rPr>
      </w:pPr>
      <w:r>
        <w:rPr>
          <w:rFonts w:hint="eastAsia" w:ascii="宋体" w:hAnsi="宋体"/>
          <w:szCs w:val="21"/>
        </w:rPr>
        <w:t>1、下列文件均为本合同的组成部分：</w:t>
      </w:r>
    </w:p>
    <w:p>
      <w:pPr>
        <w:spacing w:line="360" w:lineRule="auto"/>
        <w:ind w:firstLine="560"/>
        <w:jc w:val="left"/>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spacing w:line="360" w:lineRule="auto"/>
        <w:ind w:firstLine="560"/>
        <w:jc w:val="left"/>
        <w:rPr>
          <w:rFonts w:ascii="宋体" w:hAnsi="宋体"/>
          <w:szCs w:val="21"/>
        </w:rPr>
      </w:pPr>
      <w:r>
        <w:rPr>
          <w:rFonts w:hint="eastAsia" w:ascii="宋体" w:hAnsi="宋体"/>
          <w:szCs w:val="21"/>
        </w:rPr>
        <w:t>（2）乙方的投标文件；</w:t>
      </w:r>
    </w:p>
    <w:p>
      <w:pPr>
        <w:spacing w:line="360" w:lineRule="auto"/>
        <w:ind w:firstLine="560"/>
        <w:jc w:val="left"/>
        <w:rPr>
          <w:rFonts w:ascii="宋体" w:hAnsi="宋体"/>
          <w:szCs w:val="21"/>
        </w:rPr>
      </w:pPr>
      <w:r>
        <w:rPr>
          <w:rFonts w:hint="eastAsia" w:ascii="宋体" w:hAnsi="宋体"/>
          <w:szCs w:val="21"/>
        </w:rPr>
        <w:t>（3）本合同执行中甲乙双方共同签署的补充与修正文件。</w:t>
      </w:r>
    </w:p>
    <w:p>
      <w:pPr>
        <w:spacing w:line="360" w:lineRule="auto"/>
        <w:ind w:firstLine="560"/>
        <w:jc w:val="left"/>
        <w:rPr>
          <w:rFonts w:ascii="宋体" w:hAnsi="宋体"/>
          <w:szCs w:val="21"/>
        </w:rPr>
      </w:pPr>
      <w:r>
        <w:rPr>
          <w:rFonts w:hint="eastAsia" w:ascii="宋体" w:hAnsi="宋体"/>
          <w:szCs w:val="21"/>
        </w:rPr>
        <w:t>2、本合同一式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份，具有同等法律效力。本合同自双方法定代表人（或授权代表）签字并盖章之日起生效。</w:t>
      </w:r>
    </w:p>
    <w:p>
      <w:pPr>
        <w:spacing w:line="360" w:lineRule="auto"/>
        <w:ind w:firstLine="560"/>
        <w:jc w:val="left"/>
        <w:rPr>
          <w:rFonts w:ascii="宋体" w:hAnsi="宋体"/>
          <w:szCs w:val="21"/>
        </w:rPr>
      </w:pPr>
    </w:p>
    <w:p>
      <w:pPr>
        <w:spacing w:line="360" w:lineRule="auto"/>
        <w:ind w:firstLine="560"/>
        <w:jc w:val="left"/>
        <w:rPr>
          <w:rFonts w:ascii="宋体" w:hAnsi="宋体"/>
          <w:szCs w:val="21"/>
        </w:rPr>
      </w:pPr>
    </w:p>
    <w:p>
      <w:pPr>
        <w:spacing w:line="360" w:lineRule="auto"/>
        <w:ind w:firstLine="560"/>
        <w:jc w:val="left"/>
        <w:rPr>
          <w:rFonts w:ascii="宋体" w:hAnsi="宋体"/>
          <w:szCs w:val="21"/>
        </w:rPr>
      </w:pPr>
      <w:r>
        <w:rPr>
          <w:rFonts w:hint="eastAsia" w:ascii="宋体" w:hAnsi="宋体"/>
          <w:szCs w:val="21"/>
        </w:rPr>
        <w:t>甲方（采购人）：   （盖章）       乙方（供应商）：    （盖章）</w:t>
      </w:r>
    </w:p>
    <w:p>
      <w:pPr>
        <w:spacing w:line="360" w:lineRule="auto"/>
        <w:ind w:firstLine="560"/>
        <w:jc w:val="left"/>
        <w:rPr>
          <w:rFonts w:ascii="宋体" w:hAnsi="宋体"/>
          <w:szCs w:val="21"/>
        </w:rPr>
      </w:pPr>
      <w:r>
        <w:rPr>
          <w:rFonts w:hint="eastAsia" w:ascii="宋体" w:hAnsi="宋体"/>
          <w:szCs w:val="21"/>
        </w:rPr>
        <w:t xml:space="preserve">法定代表人：                     法定代表人： </w:t>
      </w:r>
    </w:p>
    <w:p>
      <w:pPr>
        <w:spacing w:line="360" w:lineRule="auto"/>
        <w:ind w:firstLine="560"/>
        <w:jc w:val="left"/>
        <w:rPr>
          <w:rFonts w:ascii="宋体" w:hAnsi="宋体"/>
          <w:szCs w:val="21"/>
        </w:rPr>
      </w:pPr>
      <w:r>
        <w:rPr>
          <w:rFonts w:hint="eastAsia" w:ascii="宋体" w:hAnsi="宋体"/>
          <w:szCs w:val="21"/>
        </w:rPr>
        <w:t>委托代理人：                     委托代理人：</w:t>
      </w:r>
    </w:p>
    <w:p>
      <w:pPr>
        <w:ind w:firstLine="525" w:firstLineChars="250"/>
        <w:rPr>
          <w:rFonts w:ascii="宋体" w:hAnsi="宋体"/>
          <w:b/>
          <w:szCs w:val="21"/>
        </w:rPr>
      </w:pPr>
      <w:r>
        <w:rPr>
          <w:rFonts w:hint="eastAsia" w:ascii="宋体" w:hAnsi="宋体"/>
          <w:szCs w:val="21"/>
        </w:rPr>
        <w:t>日期：   年     月    日         日期：   年     月    日</w:t>
      </w:r>
    </w:p>
    <w:p/>
    <w:p>
      <w:pPr>
        <w:rPr>
          <w:rFonts w:ascii="宋体" w:hAnsi="宋体"/>
          <w:szCs w:val="21"/>
        </w:rPr>
      </w:pPr>
    </w:p>
    <w:p>
      <w:pPr>
        <w:widowControl/>
        <w:jc w:val="left"/>
        <w:rPr>
          <w:rFonts w:ascii="黑体" w:hAnsi="宋体" w:eastAsia="黑体"/>
          <w:bCs/>
          <w:kern w:val="0"/>
          <w:sz w:val="24"/>
        </w:rPr>
      </w:pPr>
      <w:r>
        <w:rPr>
          <w:rFonts w:ascii="黑体" w:eastAsia="黑体"/>
          <w:b/>
          <w:kern w:val="0"/>
          <w:sz w:val="24"/>
        </w:rPr>
        <w:br w:type="page"/>
      </w:r>
    </w:p>
    <w:p>
      <w:pPr>
        <w:pStyle w:val="3"/>
        <w:jc w:val="center"/>
        <w:rPr>
          <w:rFonts w:ascii="黑体" w:eastAsia="黑体"/>
          <w:b w:val="0"/>
          <w:kern w:val="0"/>
          <w:sz w:val="24"/>
          <w:szCs w:val="24"/>
        </w:rPr>
      </w:pPr>
      <w:r>
        <w:rPr>
          <w:rFonts w:hint="eastAsia" w:ascii="黑体" w:eastAsia="黑体"/>
          <w:b w:val="0"/>
          <w:kern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3"/>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20" w:beforeLines="50" w:after="12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20" w:beforeLines="50" w:after="12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1、本表为采购人向履约评价工作实施机构反映政府采购项目履约情况时所用；</w:t>
      </w:r>
    </w:p>
    <w:p>
      <w:pPr>
        <w:spacing w:line="240" w:lineRule="atLeast"/>
        <w:rPr>
          <w:rFonts w:ascii="宋体" w:hAnsi="宋体"/>
          <w:szCs w:val="21"/>
        </w:rPr>
      </w:pPr>
      <w:r>
        <w:rPr>
          <w:rFonts w:hint="eastAsia" w:ascii="宋体" w:hAnsi="宋体"/>
          <w:szCs w:val="21"/>
        </w:rPr>
        <w:t>2、履约情况评价分为优、良、中、差四个等级，请在对应的框前打“√”，然后在“具体情况说明”一栏详细说明有关情况。</w:t>
      </w:r>
    </w:p>
    <w:sectPr>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t xml:space="preserve">- </w:t>
    </w:r>
    <w:r>
      <w:fldChar w:fldCharType="begin"/>
    </w:r>
    <w:r>
      <w:instrText xml:space="preserve"> PAGE </w:instrText>
    </w:r>
    <w:r>
      <w:fldChar w:fldCharType="separate"/>
    </w:r>
    <w:r>
      <w:t>31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rPr>
        <w:rStyle w:val="48"/>
      </w:rPr>
      <w:fldChar w:fldCharType="begin"/>
    </w:r>
    <w:r>
      <w:rPr>
        <w:rStyle w:val="48"/>
      </w:rPr>
      <w:instrText xml:space="preserve">PAGE  </w:instrText>
    </w:r>
    <w:r>
      <w:rPr>
        <w:rStyle w:val="48"/>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E6A75"/>
    <w:multiLevelType w:val="singleLevel"/>
    <w:tmpl w:val="A14E6A75"/>
    <w:lvl w:ilvl="0" w:tentative="0">
      <w:start w:val="1"/>
      <w:numFmt w:val="decimal"/>
      <w:suff w:val="nothing"/>
      <w:lvlText w:val="（%1）"/>
      <w:lvlJc w:val="left"/>
      <w:pPr>
        <w:ind w:left="0" w:firstLine="0"/>
      </w:pPr>
    </w:lvl>
  </w:abstractNum>
  <w:abstractNum w:abstractNumId="1">
    <w:nsid w:val="B8825A13"/>
    <w:multiLevelType w:val="singleLevel"/>
    <w:tmpl w:val="B8825A13"/>
    <w:lvl w:ilvl="0" w:tentative="0">
      <w:start w:val="1"/>
      <w:numFmt w:val="decimal"/>
      <w:suff w:val="space"/>
      <w:lvlText w:val="%1."/>
      <w:lvlJc w:val="left"/>
      <w:pPr>
        <w:ind w:left="0" w:firstLine="0"/>
      </w:pPr>
    </w:lvl>
  </w:abstractNum>
  <w:abstractNum w:abstractNumId="2">
    <w:nsid w:val="FFFFFF7C"/>
    <w:multiLevelType w:val="singleLevel"/>
    <w:tmpl w:val="FFFFFF7C"/>
    <w:lvl w:ilvl="0" w:tentative="0">
      <w:start w:val="1"/>
      <w:numFmt w:val="decimal"/>
      <w:pStyle w:val="59"/>
      <w:lvlText w:val="%1."/>
      <w:lvlJc w:val="left"/>
      <w:pPr>
        <w:tabs>
          <w:tab w:val="left" w:pos="2040"/>
        </w:tabs>
        <w:ind w:left="2040" w:leftChars="800" w:hanging="360" w:hangingChars="200"/>
      </w:pPr>
    </w:lvl>
  </w:abstractNum>
  <w:abstractNum w:abstractNumId="3">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4">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60D20D0"/>
    <w:multiLevelType w:val="multilevel"/>
    <w:tmpl w:val="160D20D0"/>
    <w:lvl w:ilvl="0" w:tentative="0">
      <w:start w:val="1"/>
      <w:numFmt w:val="bullet"/>
      <w:pStyle w:val="75"/>
      <w:lvlText w:val=""/>
      <w:lvlJc w:val="left"/>
      <w:pPr>
        <w:tabs>
          <w:tab w:val="left" w:pos="840"/>
        </w:tabs>
        <w:ind w:left="840" w:hanging="420"/>
      </w:pPr>
      <w:rPr>
        <w:rFonts w:hint="default" w:ascii="Wingdings" w:hAnsi="Wingdings"/>
      </w:rPr>
    </w:lvl>
    <w:lvl w:ilvl="1" w:tentative="0">
      <w:start w:val="1"/>
      <w:numFmt w:val="bullet"/>
      <w:pStyle w:val="76"/>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18E29A1A"/>
    <w:multiLevelType w:val="multilevel"/>
    <w:tmpl w:val="18E29A1A"/>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2F395B7B"/>
    <w:multiLevelType w:val="multilevel"/>
    <w:tmpl w:val="2F395B7B"/>
    <w:lvl w:ilvl="0" w:tentative="0">
      <w:start w:val="1"/>
      <w:numFmt w:val="bullet"/>
      <w:pStyle w:val="167"/>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8">
    <w:nsid w:val="45882EC0"/>
    <w:multiLevelType w:val="multilevel"/>
    <w:tmpl w:val="45882E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AEF7716"/>
    <w:multiLevelType w:val="multilevel"/>
    <w:tmpl w:val="7AEF7716"/>
    <w:lvl w:ilvl="0" w:tentative="0">
      <w:start w:val="1"/>
      <w:numFmt w:val="chineseCountingThousand"/>
      <w:pStyle w:val="120"/>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5"/>
  </w:num>
  <w:num w:numId="4">
    <w:abstractNumId w:val="4"/>
  </w:num>
  <w:num w:numId="5">
    <w:abstractNumId w:val="9"/>
  </w:num>
  <w:num w:numId="6">
    <w:abstractNumId w:val="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2507"/>
    <w:rsid w:val="000043C0"/>
    <w:rsid w:val="00004F2D"/>
    <w:rsid w:val="000050CA"/>
    <w:rsid w:val="000051C6"/>
    <w:rsid w:val="0000521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65FE"/>
    <w:rsid w:val="0001716B"/>
    <w:rsid w:val="00017F81"/>
    <w:rsid w:val="00020663"/>
    <w:rsid w:val="000211EA"/>
    <w:rsid w:val="000234B2"/>
    <w:rsid w:val="00025AE4"/>
    <w:rsid w:val="0002684B"/>
    <w:rsid w:val="00026A57"/>
    <w:rsid w:val="00027645"/>
    <w:rsid w:val="00027F7F"/>
    <w:rsid w:val="000300AE"/>
    <w:rsid w:val="000300EE"/>
    <w:rsid w:val="000302B6"/>
    <w:rsid w:val="0003106D"/>
    <w:rsid w:val="00031700"/>
    <w:rsid w:val="00031F6E"/>
    <w:rsid w:val="0003277F"/>
    <w:rsid w:val="00032948"/>
    <w:rsid w:val="00032B0A"/>
    <w:rsid w:val="0003315D"/>
    <w:rsid w:val="00033DE7"/>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7AF"/>
    <w:rsid w:val="00053A89"/>
    <w:rsid w:val="0005582B"/>
    <w:rsid w:val="00055BD9"/>
    <w:rsid w:val="00056247"/>
    <w:rsid w:val="00056292"/>
    <w:rsid w:val="00056C11"/>
    <w:rsid w:val="00056FF3"/>
    <w:rsid w:val="00057262"/>
    <w:rsid w:val="00057302"/>
    <w:rsid w:val="00057332"/>
    <w:rsid w:val="00057D00"/>
    <w:rsid w:val="00061D20"/>
    <w:rsid w:val="0006267A"/>
    <w:rsid w:val="0006335B"/>
    <w:rsid w:val="00063C25"/>
    <w:rsid w:val="00064892"/>
    <w:rsid w:val="00066026"/>
    <w:rsid w:val="00066133"/>
    <w:rsid w:val="0006660A"/>
    <w:rsid w:val="0006670C"/>
    <w:rsid w:val="00067960"/>
    <w:rsid w:val="0007003A"/>
    <w:rsid w:val="00070210"/>
    <w:rsid w:val="000707BF"/>
    <w:rsid w:val="00071F36"/>
    <w:rsid w:val="000720AB"/>
    <w:rsid w:val="00072CB4"/>
    <w:rsid w:val="000734CD"/>
    <w:rsid w:val="00074403"/>
    <w:rsid w:val="000750DC"/>
    <w:rsid w:val="0007583C"/>
    <w:rsid w:val="00075E26"/>
    <w:rsid w:val="00076057"/>
    <w:rsid w:val="000770EC"/>
    <w:rsid w:val="00080613"/>
    <w:rsid w:val="00080FD2"/>
    <w:rsid w:val="000819CF"/>
    <w:rsid w:val="00082667"/>
    <w:rsid w:val="00082AD2"/>
    <w:rsid w:val="00083DC6"/>
    <w:rsid w:val="00084857"/>
    <w:rsid w:val="000850AF"/>
    <w:rsid w:val="000852EB"/>
    <w:rsid w:val="00085E12"/>
    <w:rsid w:val="000869D8"/>
    <w:rsid w:val="00086CA6"/>
    <w:rsid w:val="00087FA5"/>
    <w:rsid w:val="00090213"/>
    <w:rsid w:val="00092FC7"/>
    <w:rsid w:val="00093133"/>
    <w:rsid w:val="0009395E"/>
    <w:rsid w:val="000954D5"/>
    <w:rsid w:val="00095723"/>
    <w:rsid w:val="00095A74"/>
    <w:rsid w:val="0009618D"/>
    <w:rsid w:val="0009709B"/>
    <w:rsid w:val="000975E3"/>
    <w:rsid w:val="000A1DD1"/>
    <w:rsid w:val="000A2117"/>
    <w:rsid w:val="000A21A5"/>
    <w:rsid w:val="000A321B"/>
    <w:rsid w:val="000A3908"/>
    <w:rsid w:val="000A4C29"/>
    <w:rsid w:val="000A663F"/>
    <w:rsid w:val="000A6E2B"/>
    <w:rsid w:val="000A79D3"/>
    <w:rsid w:val="000B05E2"/>
    <w:rsid w:val="000B1291"/>
    <w:rsid w:val="000B2568"/>
    <w:rsid w:val="000B41BB"/>
    <w:rsid w:val="000B512D"/>
    <w:rsid w:val="000B5357"/>
    <w:rsid w:val="000B597F"/>
    <w:rsid w:val="000B634D"/>
    <w:rsid w:val="000B73D2"/>
    <w:rsid w:val="000B7465"/>
    <w:rsid w:val="000B7E80"/>
    <w:rsid w:val="000C14CB"/>
    <w:rsid w:val="000C18BC"/>
    <w:rsid w:val="000C1EE4"/>
    <w:rsid w:val="000C1FF9"/>
    <w:rsid w:val="000C4083"/>
    <w:rsid w:val="000C4151"/>
    <w:rsid w:val="000C42FB"/>
    <w:rsid w:val="000C4425"/>
    <w:rsid w:val="000C4B12"/>
    <w:rsid w:val="000C50A3"/>
    <w:rsid w:val="000C5FA7"/>
    <w:rsid w:val="000C7E71"/>
    <w:rsid w:val="000D16AA"/>
    <w:rsid w:val="000D1A7D"/>
    <w:rsid w:val="000D2309"/>
    <w:rsid w:val="000D2CCA"/>
    <w:rsid w:val="000D366B"/>
    <w:rsid w:val="000D38F9"/>
    <w:rsid w:val="000D5D6B"/>
    <w:rsid w:val="000D6727"/>
    <w:rsid w:val="000D7A20"/>
    <w:rsid w:val="000D7FC6"/>
    <w:rsid w:val="000E0DDF"/>
    <w:rsid w:val="000E161C"/>
    <w:rsid w:val="000E257E"/>
    <w:rsid w:val="000E28E6"/>
    <w:rsid w:val="000E2A0D"/>
    <w:rsid w:val="000E2C39"/>
    <w:rsid w:val="000E355C"/>
    <w:rsid w:val="000E4445"/>
    <w:rsid w:val="000E470B"/>
    <w:rsid w:val="000E4DE8"/>
    <w:rsid w:val="000E50F5"/>
    <w:rsid w:val="000E5E99"/>
    <w:rsid w:val="000E6A66"/>
    <w:rsid w:val="000F0C3B"/>
    <w:rsid w:val="000F0E9F"/>
    <w:rsid w:val="000F1540"/>
    <w:rsid w:val="000F1D4A"/>
    <w:rsid w:val="000F2065"/>
    <w:rsid w:val="000F2A88"/>
    <w:rsid w:val="000F2C23"/>
    <w:rsid w:val="000F2D1B"/>
    <w:rsid w:val="000F3658"/>
    <w:rsid w:val="000F3B37"/>
    <w:rsid w:val="000F3C85"/>
    <w:rsid w:val="000F3F12"/>
    <w:rsid w:val="000F565B"/>
    <w:rsid w:val="000F5C6C"/>
    <w:rsid w:val="000F5F3F"/>
    <w:rsid w:val="00100570"/>
    <w:rsid w:val="00101CE5"/>
    <w:rsid w:val="00101DD0"/>
    <w:rsid w:val="00102555"/>
    <w:rsid w:val="0010291B"/>
    <w:rsid w:val="00102B4B"/>
    <w:rsid w:val="00103AB9"/>
    <w:rsid w:val="00103E80"/>
    <w:rsid w:val="00105638"/>
    <w:rsid w:val="00107187"/>
    <w:rsid w:val="00107272"/>
    <w:rsid w:val="00107D54"/>
    <w:rsid w:val="00110383"/>
    <w:rsid w:val="00110B62"/>
    <w:rsid w:val="00111581"/>
    <w:rsid w:val="00111CEB"/>
    <w:rsid w:val="0011245C"/>
    <w:rsid w:val="00112ABC"/>
    <w:rsid w:val="001135B3"/>
    <w:rsid w:val="0011500F"/>
    <w:rsid w:val="00115A55"/>
    <w:rsid w:val="00115C8D"/>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0AAA"/>
    <w:rsid w:val="00131140"/>
    <w:rsid w:val="0013281E"/>
    <w:rsid w:val="00132FD3"/>
    <w:rsid w:val="001339CF"/>
    <w:rsid w:val="001361D8"/>
    <w:rsid w:val="0013673A"/>
    <w:rsid w:val="001410EB"/>
    <w:rsid w:val="00143554"/>
    <w:rsid w:val="00143653"/>
    <w:rsid w:val="00143934"/>
    <w:rsid w:val="00143B3A"/>
    <w:rsid w:val="00143E43"/>
    <w:rsid w:val="00143FFC"/>
    <w:rsid w:val="00145760"/>
    <w:rsid w:val="00146ABB"/>
    <w:rsid w:val="00147338"/>
    <w:rsid w:val="001475CB"/>
    <w:rsid w:val="00147A48"/>
    <w:rsid w:val="00150143"/>
    <w:rsid w:val="001509AB"/>
    <w:rsid w:val="00152E91"/>
    <w:rsid w:val="00154214"/>
    <w:rsid w:val="0015460B"/>
    <w:rsid w:val="00154736"/>
    <w:rsid w:val="00156A49"/>
    <w:rsid w:val="00156A81"/>
    <w:rsid w:val="00156CA9"/>
    <w:rsid w:val="00157465"/>
    <w:rsid w:val="00157E23"/>
    <w:rsid w:val="00157FC3"/>
    <w:rsid w:val="00160ACE"/>
    <w:rsid w:val="00161C4F"/>
    <w:rsid w:val="00161C84"/>
    <w:rsid w:val="00161F2A"/>
    <w:rsid w:val="00161FDF"/>
    <w:rsid w:val="001626BD"/>
    <w:rsid w:val="00162C33"/>
    <w:rsid w:val="0016340E"/>
    <w:rsid w:val="00163781"/>
    <w:rsid w:val="00164E23"/>
    <w:rsid w:val="0016595F"/>
    <w:rsid w:val="00166A2C"/>
    <w:rsid w:val="00166AE9"/>
    <w:rsid w:val="00166BF2"/>
    <w:rsid w:val="00166CC3"/>
    <w:rsid w:val="00170A9E"/>
    <w:rsid w:val="0017121A"/>
    <w:rsid w:val="00171401"/>
    <w:rsid w:val="00171777"/>
    <w:rsid w:val="001719DB"/>
    <w:rsid w:val="001719FB"/>
    <w:rsid w:val="00172B65"/>
    <w:rsid w:val="00172EF5"/>
    <w:rsid w:val="001732E1"/>
    <w:rsid w:val="0017613E"/>
    <w:rsid w:val="00177167"/>
    <w:rsid w:val="00177753"/>
    <w:rsid w:val="00181A71"/>
    <w:rsid w:val="00181FAD"/>
    <w:rsid w:val="00182329"/>
    <w:rsid w:val="0018261B"/>
    <w:rsid w:val="00182AA9"/>
    <w:rsid w:val="001834A7"/>
    <w:rsid w:val="0018373B"/>
    <w:rsid w:val="00183C79"/>
    <w:rsid w:val="00183C8B"/>
    <w:rsid w:val="00183E75"/>
    <w:rsid w:val="001845CF"/>
    <w:rsid w:val="001865BB"/>
    <w:rsid w:val="00186EAE"/>
    <w:rsid w:val="00187518"/>
    <w:rsid w:val="00187743"/>
    <w:rsid w:val="0019096C"/>
    <w:rsid w:val="00190D17"/>
    <w:rsid w:val="0019183B"/>
    <w:rsid w:val="00191EA7"/>
    <w:rsid w:val="00192164"/>
    <w:rsid w:val="00192883"/>
    <w:rsid w:val="00194C98"/>
    <w:rsid w:val="00194FB7"/>
    <w:rsid w:val="00195547"/>
    <w:rsid w:val="00195D28"/>
    <w:rsid w:val="00196B4E"/>
    <w:rsid w:val="001975A1"/>
    <w:rsid w:val="001A027A"/>
    <w:rsid w:val="001A08E4"/>
    <w:rsid w:val="001A0D2C"/>
    <w:rsid w:val="001A12B5"/>
    <w:rsid w:val="001A1C72"/>
    <w:rsid w:val="001A2AA7"/>
    <w:rsid w:val="001A3078"/>
    <w:rsid w:val="001A3980"/>
    <w:rsid w:val="001A422B"/>
    <w:rsid w:val="001A434A"/>
    <w:rsid w:val="001A440A"/>
    <w:rsid w:val="001A4A55"/>
    <w:rsid w:val="001A5C6F"/>
    <w:rsid w:val="001A6A4F"/>
    <w:rsid w:val="001A76B7"/>
    <w:rsid w:val="001B015C"/>
    <w:rsid w:val="001B1339"/>
    <w:rsid w:val="001B1354"/>
    <w:rsid w:val="001B1B58"/>
    <w:rsid w:val="001B1F55"/>
    <w:rsid w:val="001B2049"/>
    <w:rsid w:val="001B24E2"/>
    <w:rsid w:val="001B2934"/>
    <w:rsid w:val="001B43F3"/>
    <w:rsid w:val="001B4A37"/>
    <w:rsid w:val="001B500F"/>
    <w:rsid w:val="001B5963"/>
    <w:rsid w:val="001B6FAD"/>
    <w:rsid w:val="001C04B2"/>
    <w:rsid w:val="001C14C1"/>
    <w:rsid w:val="001C1FDE"/>
    <w:rsid w:val="001C2063"/>
    <w:rsid w:val="001C21E1"/>
    <w:rsid w:val="001C332D"/>
    <w:rsid w:val="001C3426"/>
    <w:rsid w:val="001C358B"/>
    <w:rsid w:val="001C4675"/>
    <w:rsid w:val="001C4768"/>
    <w:rsid w:val="001C5839"/>
    <w:rsid w:val="001C6AF6"/>
    <w:rsid w:val="001C7129"/>
    <w:rsid w:val="001C77E1"/>
    <w:rsid w:val="001C7ADA"/>
    <w:rsid w:val="001C7B48"/>
    <w:rsid w:val="001C7F79"/>
    <w:rsid w:val="001D11A5"/>
    <w:rsid w:val="001D121D"/>
    <w:rsid w:val="001D1222"/>
    <w:rsid w:val="001D3543"/>
    <w:rsid w:val="001D4151"/>
    <w:rsid w:val="001D58E5"/>
    <w:rsid w:val="001D7299"/>
    <w:rsid w:val="001E0FAB"/>
    <w:rsid w:val="001E193F"/>
    <w:rsid w:val="001E2084"/>
    <w:rsid w:val="001E2502"/>
    <w:rsid w:val="001E292F"/>
    <w:rsid w:val="001E3104"/>
    <w:rsid w:val="001E351C"/>
    <w:rsid w:val="001E474D"/>
    <w:rsid w:val="001E5194"/>
    <w:rsid w:val="001E5A81"/>
    <w:rsid w:val="001E62FB"/>
    <w:rsid w:val="001E6A0B"/>
    <w:rsid w:val="001E77DA"/>
    <w:rsid w:val="001E7A2F"/>
    <w:rsid w:val="001E7AB0"/>
    <w:rsid w:val="001E7DD0"/>
    <w:rsid w:val="001F0349"/>
    <w:rsid w:val="001F077B"/>
    <w:rsid w:val="001F0B74"/>
    <w:rsid w:val="001F2648"/>
    <w:rsid w:val="001F29A8"/>
    <w:rsid w:val="001F41B9"/>
    <w:rsid w:val="001F4BE8"/>
    <w:rsid w:val="001F4EB8"/>
    <w:rsid w:val="001F560A"/>
    <w:rsid w:val="001F6318"/>
    <w:rsid w:val="001F65B1"/>
    <w:rsid w:val="001F6B83"/>
    <w:rsid w:val="001F6F6A"/>
    <w:rsid w:val="001F7595"/>
    <w:rsid w:val="002000B8"/>
    <w:rsid w:val="002005CD"/>
    <w:rsid w:val="00200B4C"/>
    <w:rsid w:val="00202F46"/>
    <w:rsid w:val="00203267"/>
    <w:rsid w:val="00203897"/>
    <w:rsid w:val="0020391D"/>
    <w:rsid w:val="00205F9C"/>
    <w:rsid w:val="002060F7"/>
    <w:rsid w:val="00207BC6"/>
    <w:rsid w:val="00210714"/>
    <w:rsid w:val="00210771"/>
    <w:rsid w:val="00210EE2"/>
    <w:rsid w:val="00211885"/>
    <w:rsid w:val="00212ADF"/>
    <w:rsid w:val="002134CF"/>
    <w:rsid w:val="00213A60"/>
    <w:rsid w:val="0021429B"/>
    <w:rsid w:val="00215699"/>
    <w:rsid w:val="002159DE"/>
    <w:rsid w:val="00215E99"/>
    <w:rsid w:val="0021667D"/>
    <w:rsid w:val="002166A1"/>
    <w:rsid w:val="002166A6"/>
    <w:rsid w:val="00216BB6"/>
    <w:rsid w:val="0021736E"/>
    <w:rsid w:val="0022048B"/>
    <w:rsid w:val="0022175C"/>
    <w:rsid w:val="00222261"/>
    <w:rsid w:val="002227DF"/>
    <w:rsid w:val="00223AC8"/>
    <w:rsid w:val="00223C96"/>
    <w:rsid w:val="00224852"/>
    <w:rsid w:val="00224B93"/>
    <w:rsid w:val="00224BCE"/>
    <w:rsid w:val="0022634D"/>
    <w:rsid w:val="00227512"/>
    <w:rsid w:val="0022766E"/>
    <w:rsid w:val="0022777A"/>
    <w:rsid w:val="002278D5"/>
    <w:rsid w:val="00227C13"/>
    <w:rsid w:val="00227D49"/>
    <w:rsid w:val="00227FC7"/>
    <w:rsid w:val="002317C1"/>
    <w:rsid w:val="00233A54"/>
    <w:rsid w:val="00234440"/>
    <w:rsid w:val="002347C9"/>
    <w:rsid w:val="00236E72"/>
    <w:rsid w:val="0023738E"/>
    <w:rsid w:val="002411BD"/>
    <w:rsid w:val="00243EA0"/>
    <w:rsid w:val="00244711"/>
    <w:rsid w:val="002447D2"/>
    <w:rsid w:val="00244AE4"/>
    <w:rsid w:val="00245EBE"/>
    <w:rsid w:val="002472C1"/>
    <w:rsid w:val="002473F4"/>
    <w:rsid w:val="002474D9"/>
    <w:rsid w:val="00247D64"/>
    <w:rsid w:val="00250F42"/>
    <w:rsid w:val="00252EBA"/>
    <w:rsid w:val="0025361A"/>
    <w:rsid w:val="00253E08"/>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B4E"/>
    <w:rsid w:val="00271500"/>
    <w:rsid w:val="00272E57"/>
    <w:rsid w:val="00274663"/>
    <w:rsid w:val="00275641"/>
    <w:rsid w:val="0027569A"/>
    <w:rsid w:val="00275BE4"/>
    <w:rsid w:val="002767D9"/>
    <w:rsid w:val="00280382"/>
    <w:rsid w:val="00280F4B"/>
    <w:rsid w:val="002821E9"/>
    <w:rsid w:val="002827D2"/>
    <w:rsid w:val="002835B7"/>
    <w:rsid w:val="00284C1F"/>
    <w:rsid w:val="002851AF"/>
    <w:rsid w:val="00286129"/>
    <w:rsid w:val="0028787B"/>
    <w:rsid w:val="00287FD3"/>
    <w:rsid w:val="00290263"/>
    <w:rsid w:val="002908A7"/>
    <w:rsid w:val="00291768"/>
    <w:rsid w:val="00291796"/>
    <w:rsid w:val="00292F66"/>
    <w:rsid w:val="0029315D"/>
    <w:rsid w:val="00293A33"/>
    <w:rsid w:val="0029449E"/>
    <w:rsid w:val="0029488D"/>
    <w:rsid w:val="0029530C"/>
    <w:rsid w:val="00295879"/>
    <w:rsid w:val="00296020"/>
    <w:rsid w:val="00296695"/>
    <w:rsid w:val="0029693F"/>
    <w:rsid w:val="002969C6"/>
    <w:rsid w:val="00296BE2"/>
    <w:rsid w:val="00296F46"/>
    <w:rsid w:val="00296F8A"/>
    <w:rsid w:val="002A11CE"/>
    <w:rsid w:val="002A13E2"/>
    <w:rsid w:val="002A180F"/>
    <w:rsid w:val="002A1B36"/>
    <w:rsid w:val="002A37E6"/>
    <w:rsid w:val="002A4DFC"/>
    <w:rsid w:val="002A51A6"/>
    <w:rsid w:val="002A5C58"/>
    <w:rsid w:val="002A6EC3"/>
    <w:rsid w:val="002B0576"/>
    <w:rsid w:val="002B18D6"/>
    <w:rsid w:val="002B22D4"/>
    <w:rsid w:val="002B3984"/>
    <w:rsid w:val="002B4BF3"/>
    <w:rsid w:val="002B55C8"/>
    <w:rsid w:val="002B5A89"/>
    <w:rsid w:val="002B5E4B"/>
    <w:rsid w:val="002B660D"/>
    <w:rsid w:val="002B7969"/>
    <w:rsid w:val="002C0031"/>
    <w:rsid w:val="002C0485"/>
    <w:rsid w:val="002C0762"/>
    <w:rsid w:val="002C1CDE"/>
    <w:rsid w:val="002C2010"/>
    <w:rsid w:val="002C257A"/>
    <w:rsid w:val="002C2BEC"/>
    <w:rsid w:val="002C30C0"/>
    <w:rsid w:val="002C4F4B"/>
    <w:rsid w:val="002C6EC0"/>
    <w:rsid w:val="002C7258"/>
    <w:rsid w:val="002D0356"/>
    <w:rsid w:val="002D064C"/>
    <w:rsid w:val="002D07C0"/>
    <w:rsid w:val="002D0F98"/>
    <w:rsid w:val="002D1DFB"/>
    <w:rsid w:val="002D45BF"/>
    <w:rsid w:val="002D4A85"/>
    <w:rsid w:val="002D551F"/>
    <w:rsid w:val="002D6162"/>
    <w:rsid w:val="002D64DF"/>
    <w:rsid w:val="002D750A"/>
    <w:rsid w:val="002E017E"/>
    <w:rsid w:val="002E0C0B"/>
    <w:rsid w:val="002E242E"/>
    <w:rsid w:val="002E2FEC"/>
    <w:rsid w:val="002E38DB"/>
    <w:rsid w:val="002E3BEB"/>
    <w:rsid w:val="002E441D"/>
    <w:rsid w:val="002E4AB1"/>
    <w:rsid w:val="002E4F8A"/>
    <w:rsid w:val="002E505D"/>
    <w:rsid w:val="002E61E1"/>
    <w:rsid w:val="002E6F69"/>
    <w:rsid w:val="002E7296"/>
    <w:rsid w:val="002E73B8"/>
    <w:rsid w:val="002F0823"/>
    <w:rsid w:val="002F2471"/>
    <w:rsid w:val="002F2B7A"/>
    <w:rsid w:val="002F3105"/>
    <w:rsid w:val="002F5E6C"/>
    <w:rsid w:val="002F72FF"/>
    <w:rsid w:val="00300BF3"/>
    <w:rsid w:val="0030143F"/>
    <w:rsid w:val="00301A2B"/>
    <w:rsid w:val="00301BCD"/>
    <w:rsid w:val="003024DF"/>
    <w:rsid w:val="003032F1"/>
    <w:rsid w:val="003033C9"/>
    <w:rsid w:val="00303ACF"/>
    <w:rsid w:val="0030463E"/>
    <w:rsid w:val="00304983"/>
    <w:rsid w:val="00304ED6"/>
    <w:rsid w:val="00306654"/>
    <w:rsid w:val="00306D5D"/>
    <w:rsid w:val="00306FF4"/>
    <w:rsid w:val="00310EE1"/>
    <w:rsid w:val="003122B0"/>
    <w:rsid w:val="00312390"/>
    <w:rsid w:val="00313487"/>
    <w:rsid w:val="003138EB"/>
    <w:rsid w:val="00315880"/>
    <w:rsid w:val="00315A06"/>
    <w:rsid w:val="0031678B"/>
    <w:rsid w:val="0031683C"/>
    <w:rsid w:val="00317146"/>
    <w:rsid w:val="003176EA"/>
    <w:rsid w:val="00317D36"/>
    <w:rsid w:val="00320504"/>
    <w:rsid w:val="00320584"/>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8A6"/>
    <w:rsid w:val="003321A8"/>
    <w:rsid w:val="00332EB1"/>
    <w:rsid w:val="003335E1"/>
    <w:rsid w:val="00333E63"/>
    <w:rsid w:val="00334044"/>
    <w:rsid w:val="00335188"/>
    <w:rsid w:val="00335234"/>
    <w:rsid w:val="00335468"/>
    <w:rsid w:val="00335FAD"/>
    <w:rsid w:val="003373B8"/>
    <w:rsid w:val="003413F4"/>
    <w:rsid w:val="00342DC1"/>
    <w:rsid w:val="00342EF7"/>
    <w:rsid w:val="003432B6"/>
    <w:rsid w:val="00343477"/>
    <w:rsid w:val="00343F41"/>
    <w:rsid w:val="00344BF3"/>
    <w:rsid w:val="00345CC1"/>
    <w:rsid w:val="00345EA7"/>
    <w:rsid w:val="00346265"/>
    <w:rsid w:val="0034652C"/>
    <w:rsid w:val="00346606"/>
    <w:rsid w:val="00346E73"/>
    <w:rsid w:val="0035067B"/>
    <w:rsid w:val="00350681"/>
    <w:rsid w:val="00350B6E"/>
    <w:rsid w:val="00351A4A"/>
    <w:rsid w:val="00351D95"/>
    <w:rsid w:val="00351FB4"/>
    <w:rsid w:val="00353860"/>
    <w:rsid w:val="00354CD9"/>
    <w:rsid w:val="00354D08"/>
    <w:rsid w:val="003556C1"/>
    <w:rsid w:val="00355BE8"/>
    <w:rsid w:val="00355EEE"/>
    <w:rsid w:val="00357883"/>
    <w:rsid w:val="00360494"/>
    <w:rsid w:val="00360B8A"/>
    <w:rsid w:val="00360C00"/>
    <w:rsid w:val="0036100A"/>
    <w:rsid w:val="00361633"/>
    <w:rsid w:val="00361935"/>
    <w:rsid w:val="003626AE"/>
    <w:rsid w:val="0036292A"/>
    <w:rsid w:val="00362AF3"/>
    <w:rsid w:val="00363836"/>
    <w:rsid w:val="00364BEE"/>
    <w:rsid w:val="0036508D"/>
    <w:rsid w:val="003651C8"/>
    <w:rsid w:val="00366321"/>
    <w:rsid w:val="003668B3"/>
    <w:rsid w:val="003669F1"/>
    <w:rsid w:val="00366F10"/>
    <w:rsid w:val="003700A3"/>
    <w:rsid w:val="00370B40"/>
    <w:rsid w:val="00371C15"/>
    <w:rsid w:val="00372CDF"/>
    <w:rsid w:val="00373411"/>
    <w:rsid w:val="00373D40"/>
    <w:rsid w:val="0037403A"/>
    <w:rsid w:val="003741F6"/>
    <w:rsid w:val="00374A29"/>
    <w:rsid w:val="00374FA4"/>
    <w:rsid w:val="003756C6"/>
    <w:rsid w:val="00376E35"/>
    <w:rsid w:val="003773AC"/>
    <w:rsid w:val="00377F6C"/>
    <w:rsid w:val="00380094"/>
    <w:rsid w:val="00380256"/>
    <w:rsid w:val="0038165D"/>
    <w:rsid w:val="00383071"/>
    <w:rsid w:val="00383ACA"/>
    <w:rsid w:val="00385175"/>
    <w:rsid w:val="00385444"/>
    <w:rsid w:val="00385F39"/>
    <w:rsid w:val="00386070"/>
    <w:rsid w:val="00390006"/>
    <w:rsid w:val="003900A5"/>
    <w:rsid w:val="003917AD"/>
    <w:rsid w:val="00391FAB"/>
    <w:rsid w:val="00392539"/>
    <w:rsid w:val="00392677"/>
    <w:rsid w:val="00393431"/>
    <w:rsid w:val="00393633"/>
    <w:rsid w:val="00394413"/>
    <w:rsid w:val="003945E2"/>
    <w:rsid w:val="00394981"/>
    <w:rsid w:val="00395100"/>
    <w:rsid w:val="003953A8"/>
    <w:rsid w:val="003958E6"/>
    <w:rsid w:val="00395D76"/>
    <w:rsid w:val="00396F7B"/>
    <w:rsid w:val="00396FA3"/>
    <w:rsid w:val="0039788E"/>
    <w:rsid w:val="00397F0D"/>
    <w:rsid w:val="003A0DC3"/>
    <w:rsid w:val="003A1756"/>
    <w:rsid w:val="003A1CF5"/>
    <w:rsid w:val="003A2812"/>
    <w:rsid w:val="003A2D0C"/>
    <w:rsid w:val="003A3304"/>
    <w:rsid w:val="003A3551"/>
    <w:rsid w:val="003A38F0"/>
    <w:rsid w:val="003A443D"/>
    <w:rsid w:val="003A4DE4"/>
    <w:rsid w:val="003A566A"/>
    <w:rsid w:val="003A6A5A"/>
    <w:rsid w:val="003A72E9"/>
    <w:rsid w:val="003B175A"/>
    <w:rsid w:val="003B1A79"/>
    <w:rsid w:val="003B27E5"/>
    <w:rsid w:val="003B3231"/>
    <w:rsid w:val="003B357A"/>
    <w:rsid w:val="003B499C"/>
    <w:rsid w:val="003B4CCD"/>
    <w:rsid w:val="003B53D4"/>
    <w:rsid w:val="003B56D7"/>
    <w:rsid w:val="003B7298"/>
    <w:rsid w:val="003C0FF8"/>
    <w:rsid w:val="003C1D0C"/>
    <w:rsid w:val="003C3BC7"/>
    <w:rsid w:val="003C4FD5"/>
    <w:rsid w:val="003C52B7"/>
    <w:rsid w:val="003C582B"/>
    <w:rsid w:val="003C6BFF"/>
    <w:rsid w:val="003D1FAE"/>
    <w:rsid w:val="003D2333"/>
    <w:rsid w:val="003D3241"/>
    <w:rsid w:val="003D39AE"/>
    <w:rsid w:val="003D3B47"/>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173"/>
    <w:rsid w:val="003F5D2C"/>
    <w:rsid w:val="003F7679"/>
    <w:rsid w:val="00400C13"/>
    <w:rsid w:val="00400F6C"/>
    <w:rsid w:val="00402311"/>
    <w:rsid w:val="0040239F"/>
    <w:rsid w:val="00402C97"/>
    <w:rsid w:val="00403364"/>
    <w:rsid w:val="0040415C"/>
    <w:rsid w:val="00404AA4"/>
    <w:rsid w:val="00404C61"/>
    <w:rsid w:val="004050C9"/>
    <w:rsid w:val="004051F0"/>
    <w:rsid w:val="00406314"/>
    <w:rsid w:val="00406376"/>
    <w:rsid w:val="00406896"/>
    <w:rsid w:val="00411B37"/>
    <w:rsid w:val="004125ED"/>
    <w:rsid w:val="00413B39"/>
    <w:rsid w:val="00413D81"/>
    <w:rsid w:val="0041450E"/>
    <w:rsid w:val="0041456E"/>
    <w:rsid w:val="00415370"/>
    <w:rsid w:val="00415781"/>
    <w:rsid w:val="00416485"/>
    <w:rsid w:val="00416F40"/>
    <w:rsid w:val="00417769"/>
    <w:rsid w:val="00417F0D"/>
    <w:rsid w:val="00420D78"/>
    <w:rsid w:val="00421EF2"/>
    <w:rsid w:val="00422668"/>
    <w:rsid w:val="00424946"/>
    <w:rsid w:val="0042602D"/>
    <w:rsid w:val="004261DA"/>
    <w:rsid w:val="00427004"/>
    <w:rsid w:val="00431540"/>
    <w:rsid w:val="00431AC1"/>
    <w:rsid w:val="00431BEA"/>
    <w:rsid w:val="00431DE1"/>
    <w:rsid w:val="004329C9"/>
    <w:rsid w:val="00432CD5"/>
    <w:rsid w:val="00432EF0"/>
    <w:rsid w:val="00433B26"/>
    <w:rsid w:val="00433CDB"/>
    <w:rsid w:val="00435D29"/>
    <w:rsid w:val="004362D8"/>
    <w:rsid w:val="004363FA"/>
    <w:rsid w:val="004364CC"/>
    <w:rsid w:val="00437141"/>
    <w:rsid w:val="004405B0"/>
    <w:rsid w:val="00440853"/>
    <w:rsid w:val="00441905"/>
    <w:rsid w:val="00441FF9"/>
    <w:rsid w:val="0044382F"/>
    <w:rsid w:val="00443B96"/>
    <w:rsid w:val="00443E1D"/>
    <w:rsid w:val="004442EB"/>
    <w:rsid w:val="00444EB0"/>
    <w:rsid w:val="00444FA3"/>
    <w:rsid w:val="00446553"/>
    <w:rsid w:val="00446A92"/>
    <w:rsid w:val="004501B4"/>
    <w:rsid w:val="0045082F"/>
    <w:rsid w:val="00450C00"/>
    <w:rsid w:val="0045135E"/>
    <w:rsid w:val="00452434"/>
    <w:rsid w:val="00452592"/>
    <w:rsid w:val="00452C53"/>
    <w:rsid w:val="004539C7"/>
    <w:rsid w:val="00454597"/>
    <w:rsid w:val="004548E6"/>
    <w:rsid w:val="0045543A"/>
    <w:rsid w:val="0045543C"/>
    <w:rsid w:val="004556B9"/>
    <w:rsid w:val="004556FB"/>
    <w:rsid w:val="00455880"/>
    <w:rsid w:val="004561F9"/>
    <w:rsid w:val="0045637C"/>
    <w:rsid w:val="0045647F"/>
    <w:rsid w:val="004569A3"/>
    <w:rsid w:val="004578ED"/>
    <w:rsid w:val="0046064C"/>
    <w:rsid w:val="004611B6"/>
    <w:rsid w:val="00461261"/>
    <w:rsid w:val="00461997"/>
    <w:rsid w:val="00463F8B"/>
    <w:rsid w:val="004649AD"/>
    <w:rsid w:val="00464AC8"/>
    <w:rsid w:val="004650E7"/>
    <w:rsid w:val="0046516E"/>
    <w:rsid w:val="0046687B"/>
    <w:rsid w:val="00466CB4"/>
    <w:rsid w:val="00470418"/>
    <w:rsid w:val="004704EA"/>
    <w:rsid w:val="0047071D"/>
    <w:rsid w:val="004727C4"/>
    <w:rsid w:val="00472F62"/>
    <w:rsid w:val="00473579"/>
    <w:rsid w:val="00473B38"/>
    <w:rsid w:val="00473E50"/>
    <w:rsid w:val="00474E5A"/>
    <w:rsid w:val="0047558F"/>
    <w:rsid w:val="00475FD5"/>
    <w:rsid w:val="0047725A"/>
    <w:rsid w:val="0048116B"/>
    <w:rsid w:val="004812F4"/>
    <w:rsid w:val="0048231B"/>
    <w:rsid w:val="004838D4"/>
    <w:rsid w:val="004845AC"/>
    <w:rsid w:val="00484C31"/>
    <w:rsid w:val="00485E3C"/>
    <w:rsid w:val="00486646"/>
    <w:rsid w:val="00486F09"/>
    <w:rsid w:val="004877FB"/>
    <w:rsid w:val="004906DB"/>
    <w:rsid w:val="0049080C"/>
    <w:rsid w:val="00490C0F"/>
    <w:rsid w:val="00491FF2"/>
    <w:rsid w:val="004925EE"/>
    <w:rsid w:val="00492735"/>
    <w:rsid w:val="004935A5"/>
    <w:rsid w:val="00493926"/>
    <w:rsid w:val="00494127"/>
    <w:rsid w:val="004945E8"/>
    <w:rsid w:val="00494FC9"/>
    <w:rsid w:val="00495228"/>
    <w:rsid w:val="00495B22"/>
    <w:rsid w:val="004963B6"/>
    <w:rsid w:val="004A1AB1"/>
    <w:rsid w:val="004A2013"/>
    <w:rsid w:val="004A201B"/>
    <w:rsid w:val="004A2B7A"/>
    <w:rsid w:val="004A3EB3"/>
    <w:rsid w:val="004A4377"/>
    <w:rsid w:val="004A4937"/>
    <w:rsid w:val="004A57EB"/>
    <w:rsid w:val="004A5824"/>
    <w:rsid w:val="004A59D3"/>
    <w:rsid w:val="004A6D7C"/>
    <w:rsid w:val="004A6F11"/>
    <w:rsid w:val="004A74DD"/>
    <w:rsid w:val="004B00D1"/>
    <w:rsid w:val="004B0B57"/>
    <w:rsid w:val="004B0BBE"/>
    <w:rsid w:val="004B0EB0"/>
    <w:rsid w:val="004B1246"/>
    <w:rsid w:val="004B1CAB"/>
    <w:rsid w:val="004B2FF9"/>
    <w:rsid w:val="004B3506"/>
    <w:rsid w:val="004B36ED"/>
    <w:rsid w:val="004B40DB"/>
    <w:rsid w:val="004B48FF"/>
    <w:rsid w:val="004B4EF6"/>
    <w:rsid w:val="004B5D89"/>
    <w:rsid w:val="004B612E"/>
    <w:rsid w:val="004B623B"/>
    <w:rsid w:val="004B6554"/>
    <w:rsid w:val="004B6B22"/>
    <w:rsid w:val="004B6C50"/>
    <w:rsid w:val="004C0DA0"/>
    <w:rsid w:val="004C23F2"/>
    <w:rsid w:val="004C3E02"/>
    <w:rsid w:val="004C422D"/>
    <w:rsid w:val="004C4CEB"/>
    <w:rsid w:val="004C5CBA"/>
    <w:rsid w:val="004C64F7"/>
    <w:rsid w:val="004C6C09"/>
    <w:rsid w:val="004C6EA3"/>
    <w:rsid w:val="004C79EF"/>
    <w:rsid w:val="004C7E13"/>
    <w:rsid w:val="004D000F"/>
    <w:rsid w:val="004D0281"/>
    <w:rsid w:val="004D055D"/>
    <w:rsid w:val="004D09C8"/>
    <w:rsid w:val="004D1240"/>
    <w:rsid w:val="004D3E71"/>
    <w:rsid w:val="004D42A3"/>
    <w:rsid w:val="004D488D"/>
    <w:rsid w:val="004D49EE"/>
    <w:rsid w:val="004D4AE0"/>
    <w:rsid w:val="004D4C0B"/>
    <w:rsid w:val="004D69FC"/>
    <w:rsid w:val="004D72BA"/>
    <w:rsid w:val="004D77BD"/>
    <w:rsid w:val="004D77DE"/>
    <w:rsid w:val="004D7BF4"/>
    <w:rsid w:val="004D7C92"/>
    <w:rsid w:val="004E032A"/>
    <w:rsid w:val="004E295C"/>
    <w:rsid w:val="004E38B2"/>
    <w:rsid w:val="004E3936"/>
    <w:rsid w:val="004E490B"/>
    <w:rsid w:val="004E4D2E"/>
    <w:rsid w:val="004E51CD"/>
    <w:rsid w:val="004E57F7"/>
    <w:rsid w:val="004E5D9C"/>
    <w:rsid w:val="004E6707"/>
    <w:rsid w:val="004E6AB9"/>
    <w:rsid w:val="004E6B8E"/>
    <w:rsid w:val="004E6D15"/>
    <w:rsid w:val="004E784F"/>
    <w:rsid w:val="004E7BE3"/>
    <w:rsid w:val="004F0543"/>
    <w:rsid w:val="004F0D33"/>
    <w:rsid w:val="004F1827"/>
    <w:rsid w:val="004F2385"/>
    <w:rsid w:val="004F246C"/>
    <w:rsid w:val="004F311B"/>
    <w:rsid w:val="004F3A97"/>
    <w:rsid w:val="004F5591"/>
    <w:rsid w:val="004F5D14"/>
    <w:rsid w:val="004F68DC"/>
    <w:rsid w:val="004F7F44"/>
    <w:rsid w:val="00500F7A"/>
    <w:rsid w:val="005012AD"/>
    <w:rsid w:val="005016E5"/>
    <w:rsid w:val="00501A56"/>
    <w:rsid w:val="00502317"/>
    <w:rsid w:val="005027BB"/>
    <w:rsid w:val="00503415"/>
    <w:rsid w:val="005037E1"/>
    <w:rsid w:val="00503B5C"/>
    <w:rsid w:val="0050456A"/>
    <w:rsid w:val="005068E1"/>
    <w:rsid w:val="005070B6"/>
    <w:rsid w:val="005077C5"/>
    <w:rsid w:val="00510B80"/>
    <w:rsid w:val="0051168A"/>
    <w:rsid w:val="005117D2"/>
    <w:rsid w:val="005118A6"/>
    <w:rsid w:val="00512043"/>
    <w:rsid w:val="005122F4"/>
    <w:rsid w:val="0051405F"/>
    <w:rsid w:val="0051444F"/>
    <w:rsid w:val="00514749"/>
    <w:rsid w:val="005156A6"/>
    <w:rsid w:val="00516393"/>
    <w:rsid w:val="00516669"/>
    <w:rsid w:val="005179A5"/>
    <w:rsid w:val="00520B4F"/>
    <w:rsid w:val="00523D0A"/>
    <w:rsid w:val="00524418"/>
    <w:rsid w:val="00524AD7"/>
    <w:rsid w:val="005254FD"/>
    <w:rsid w:val="005268A9"/>
    <w:rsid w:val="0052720F"/>
    <w:rsid w:val="00527421"/>
    <w:rsid w:val="005275C4"/>
    <w:rsid w:val="00527D36"/>
    <w:rsid w:val="00530145"/>
    <w:rsid w:val="00531076"/>
    <w:rsid w:val="00531D28"/>
    <w:rsid w:val="005328A8"/>
    <w:rsid w:val="005338EE"/>
    <w:rsid w:val="00533920"/>
    <w:rsid w:val="00535141"/>
    <w:rsid w:val="00535324"/>
    <w:rsid w:val="00535504"/>
    <w:rsid w:val="005363B4"/>
    <w:rsid w:val="0053712D"/>
    <w:rsid w:val="00540189"/>
    <w:rsid w:val="005403F4"/>
    <w:rsid w:val="00541076"/>
    <w:rsid w:val="00541136"/>
    <w:rsid w:val="0054216F"/>
    <w:rsid w:val="00542F18"/>
    <w:rsid w:val="0054343C"/>
    <w:rsid w:val="00544853"/>
    <w:rsid w:val="00544CA5"/>
    <w:rsid w:val="005450E2"/>
    <w:rsid w:val="005451BB"/>
    <w:rsid w:val="00545B19"/>
    <w:rsid w:val="00547404"/>
    <w:rsid w:val="0055035F"/>
    <w:rsid w:val="005507FD"/>
    <w:rsid w:val="005511C0"/>
    <w:rsid w:val="00551E3C"/>
    <w:rsid w:val="0055232C"/>
    <w:rsid w:val="0055278E"/>
    <w:rsid w:val="005535AE"/>
    <w:rsid w:val="0055387E"/>
    <w:rsid w:val="00554536"/>
    <w:rsid w:val="00555488"/>
    <w:rsid w:val="0055549A"/>
    <w:rsid w:val="00555B18"/>
    <w:rsid w:val="00555C9C"/>
    <w:rsid w:val="00556A4D"/>
    <w:rsid w:val="00557319"/>
    <w:rsid w:val="0055764E"/>
    <w:rsid w:val="00560528"/>
    <w:rsid w:val="00560699"/>
    <w:rsid w:val="0056085F"/>
    <w:rsid w:val="00561923"/>
    <w:rsid w:val="005622F8"/>
    <w:rsid w:val="0056310A"/>
    <w:rsid w:val="0056336F"/>
    <w:rsid w:val="00565AF7"/>
    <w:rsid w:val="00566024"/>
    <w:rsid w:val="005677BD"/>
    <w:rsid w:val="0057060C"/>
    <w:rsid w:val="0057189C"/>
    <w:rsid w:val="00571B90"/>
    <w:rsid w:val="00571BD2"/>
    <w:rsid w:val="00571CD7"/>
    <w:rsid w:val="00571D59"/>
    <w:rsid w:val="00572E3E"/>
    <w:rsid w:val="005737FC"/>
    <w:rsid w:val="00573885"/>
    <w:rsid w:val="0057420B"/>
    <w:rsid w:val="005755DC"/>
    <w:rsid w:val="005757C8"/>
    <w:rsid w:val="0057580A"/>
    <w:rsid w:val="0057593B"/>
    <w:rsid w:val="005762CE"/>
    <w:rsid w:val="005772D9"/>
    <w:rsid w:val="00580280"/>
    <w:rsid w:val="00580B9E"/>
    <w:rsid w:val="00580DAB"/>
    <w:rsid w:val="0058135A"/>
    <w:rsid w:val="005817D9"/>
    <w:rsid w:val="00581F7C"/>
    <w:rsid w:val="00583358"/>
    <w:rsid w:val="005839BF"/>
    <w:rsid w:val="00584058"/>
    <w:rsid w:val="005844A5"/>
    <w:rsid w:val="005846B4"/>
    <w:rsid w:val="00584AA6"/>
    <w:rsid w:val="005850E5"/>
    <w:rsid w:val="005851E0"/>
    <w:rsid w:val="00585571"/>
    <w:rsid w:val="005856F9"/>
    <w:rsid w:val="00585B91"/>
    <w:rsid w:val="00586BB0"/>
    <w:rsid w:val="00586BF1"/>
    <w:rsid w:val="00587DC4"/>
    <w:rsid w:val="005903E4"/>
    <w:rsid w:val="005907D5"/>
    <w:rsid w:val="005910C0"/>
    <w:rsid w:val="005913EE"/>
    <w:rsid w:val="00592461"/>
    <w:rsid w:val="0059340B"/>
    <w:rsid w:val="005950D6"/>
    <w:rsid w:val="0059519C"/>
    <w:rsid w:val="00595524"/>
    <w:rsid w:val="005974F3"/>
    <w:rsid w:val="0059751C"/>
    <w:rsid w:val="00597919"/>
    <w:rsid w:val="005A0B9F"/>
    <w:rsid w:val="005A0EFC"/>
    <w:rsid w:val="005A1F25"/>
    <w:rsid w:val="005A44E7"/>
    <w:rsid w:val="005A561E"/>
    <w:rsid w:val="005A5D8E"/>
    <w:rsid w:val="005A63D8"/>
    <w:rsid w:val="005A7C14"/>
    <w:rsid w:val="005A7DBE"/>
    <w:rsid w:val="005B152C"/>
    <w:rsid w:val="005B1C64"/>
    <w:rsid w:val="005B1DE8"/>
    <w:rsid w:val="005B2807"/>
    <w:rsid w:val="005B2E0A"/>
    <w:rsid w:val="005B3606"/>
    <w:rsid w:val="005B3E08"/>
    <w:rsid w:val="005B49B6"/>
    <w:rsid w:val="005B56EE"/>
    <w:rsid w:val="005B672C"/>
    <w:rsid w:val="005B747D"/>
    <w:rsid w:val="005B7733"/>
    <w:rsid w:val="005B7A22"/>
    <w:rsid w:val="005C0602"/>
    <w:rsid w:val="005C0D5D"/>
    <w:rsid w:val="005C1415"/>
    <w:rsid w:val="005C1873"/>
    <w:rsid w:val="005C191A"/>
    <w:rsid w:val="005C2AA9"/>
    <w:rsid w:val="005C330D"/>
    <w:rsid w:val="005C40C7"/>
    <w:rsid w:val="005C4114"/>
    <w:rsid w:val="005C4A86"/>
    <w:rsid w:val="005C4EFF"/>
    <w:rsid w:val="005C4F43"/>
    <w:rsid w:val="005C6491"/>
    <w:rsid w:val="005C6E71"/>
    <w:rsid w:val="005D0B55"/>
    <w:rsid w:val="005D0FC2"/>
    <w:rsid w:val="005D3414"/>
    <w:rsid w:val="005D3F04"/>
    <w:rsid w:val="005D4A04"/>
    <w:rsid w:val="005D4CF7"/>
    <w:rsid w:val="005D5347"/>
    <w:rsid w:val="005D5CC5"/>
    <w:rsid w:val="005D5FE6"/>
    <w:rsid w:val="005D61EA"/>
    <w:rsid w:val="005D74D8"/>
    <w:rsid w:val="005D787B"/>
    <w:rsid w:val="005E031D"/>
    <w:rsid w:val="005E03AC"/>
    <w:rsid w:val="005E04B5"/>
    <w:rsid w:val="005E0621"/>
    <w:rsid w:val="005E12BE"/>
    <w:rsid w:val="005E2C81"/>
    <w:rsid w:val="005E4D3C"/>
    <w:rsid w:val="005E7158"/>
    <w:rsid w:val="005E7ECB"/>
    <w:rsid w:val="005F0C00"/>
    <w:rsid w:val="005F1037"/>
    <w:rsid w:val="005F2BF8"/>
    <w:rsid w:val="005F2EA8"/>
    <w:rsid w:val="005F3648"/>
    <w:rsid w:val="005F590C"/>
    <w:rsid w:val="005F5D1D"/>
    <w:rsid w:val="005F60C9"/>
    <w:rsid w:val="005F64C6"/>
    <w:rsid w:val="006008F1"/>
    <w:rsid w:val="00601714"/>
    <w:rsid w:val="00601735"/>
    <w:rsid w:val="00602BD2"/>
    <w:rsid w:val="00602CDE"/>
    <w:rsid w:val="00603E0E"/>
    <w:rsid w:val="00604980"/>
    <w:rsid w:val="0060614D"/>
    <w:rsid w:val="006066F2"/>
    <w:rsid w:val="006069E3"/>
    <w:rsid w:val="0061012D"/>
    <w:rsid w:val="00610871"/>
    <w:rsid w:val="00610E48"/>
    <w:rsid w:val="00610FE0"/>
    <w:rsid w:val="00613C47"/>
    <w:rsid w:val="00615086"/>
    <w:rsid w:val="00616201"/>
    <w:rsid w:val="00616225"/>
    <w:rsid w:val="0061705E"/>
    <w:rsid w:val="00617914"/>
    <w:rsid w:val="00617A8B"/>
    <w:rsid w:val="00621904"/>
    <w:rsid w:val="00622248"/>
    <w:rsid w:val="00622FEA"/>
    <w:rsid w:val="00623692"/>
    <w:rsid w:val="00623CDF"/>
    <w:rsid w:val="00623DB1"/>
    <w:rsid w:val="006245F3"/>
    <w:rsid w:val="00624DBE"/>
    <w:rsid w:val="00625450"/>
    <w:rsid w:val="0062557A"/>
    <w:rsid w:val="0062624F"/>
    <w:rsid w:val="006319CA"/>
    <w:rsid w:val="00633B3E"/>
    <w:rsid w:val="00634EC0"/>
    <w:rsid w:val="0063627F"/>
    <w:rsid w:val="006376C4"/>
    <w:rsid w:val="006378C9"/>
    <w:rsid w:val="006403E7"/>
    <w:rsid w:val="00642D72"/>
    <w:rsid w:val="006443CB"/>
    <w:rsid w:val="006448B8"/>
    <w:rsid w:val="00644F80"/>
    <w:rsid w:val="00645874"/>
    <w:rsid w:val="00647673"/>
    <w:rsid w:val="00650F81"/>
    <w:rsid w:val="00650FC7"/>
    <w:rsid w:val="00651F86"/>
    <w:rsid w:val="0065395E"/>
    <w:rsid w:val="00653C24"/>
    <w:rsid w:val="00653D68"/>
    <w:rsid w:val="00653E4E"/>
    <w:rsid w:val="00654275"/>
    <w:rsid w:val="0065446D"/>
    <w:rsid w:val="00654891"/>
    <w:rsid w:val="00654894"/>
    <w:rsid w:val="00654ECC"/>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6749C"/>
    <w:rsid w:val="006703D9"/>
    <w:rsid w:val="0067239E"/>
    <w:rsid w:val="00672DFC"/>
    <w:rsid w:val="00672F5B"/>
    <w:rsid w:val="00673DEE"/>
    <w:rsid w:val="00674E69"/>
    <w:rsid w:val="0067738E"/>
    <w:rsid w:val="00677F23"/>
    <w:rsid w:val="0068055B"/>
    <w:rsid w:val="00680936"/>
    <w:rsid w:val="00680D8C"/>
    <w:rsid w:val="00680D99"/>
    <w:rsid w:val="006821B2"/>
    <w:rsid w:val="00682725"/>
    <w:rsid w:val="00682A1B"/>
    <w:rsid w:val="00682D73"/>
    <w:rsid w:val="00682ED3"/>
    <w:rsid w:val="00683993"/>
    <w:rsid w:val="00683FD8"/>
    <w:rsid w:val="006846E8"/>
    <w:rsid w:val="00685EBD"/>
    <w:rsid w:val="006861C3"/>
    <w:rsid w:val="00686AF3"/>
    <w:rsid w:val="006873D7"/>
    <w:rsid w:val="00690F1F"/>
    <w:rsid w:val="006915BD"/>
    <w:rsid w:val="00692582"/>
    <w:rsid w:val="00692592"/>
    <w:rsid w:val="0069267D"/>
    <w:rsid w:val="00692A2F"/>
    <w:rsid w:val="0069322C"/>
    <w:rsid w:val="00693652"/>
    <w:rsid w:val="006939E7"/>
    <w:rsid w:val="00693D3E"/>
    <w:rsid w:val="006942F7"/>
    <w:rsid w:val="006956FB"/>
    <w:rsid w:val="00696D8A"/>
    <w:rsid w:val="00697D85"/>
    <w:rsid w:val="00697EB7"/>
    <w:rsid w:val="006A0F46"/>
    <w:rsid w:val="006A1A71"/>
    <w:rsid w:val="006A1D3D"/>
    <w:rsid w:val="006A2150"/>
    <w:rsid w:val="006A2216"/>
    <w:rsid w:val="006A241D"/>
    <w:rsid w:val="006A3288"/>
    <w:rsid w:val="006A41F3"/>
    <w:rsid w:val="006A43E6"/>
    <w:rsid w:val="006A4AEE"/>
    <w:rsid w:val="006A50AD"/>
    <w:rsid w:val="006A70BE"/>
    <w:rsid w:val="006A7934"/>
    <w:rsid w:val="006B0001"/>
    <w:rsid w:val="006B054B"/>
    <w:rsid w:val="006B059F"/>
    <w:rsid w:val="006B2048"/>
    <w:rsid w:val="006B2AD6"/>
    <w:rsid w:val="006B2DF8"/>
    <w:rsid w:val="006B342E"/>
    <w:rsid w:val="006B3812"/>
    <w:rsid w:val="006B38A5"/>
    <w:rsid w:val="006B3B80"/>
    <w:rsid w:val="006B6EF0"/>
    <w:rsid w:val="006B6F32"/>
    <w:rsid w:val="006B7130"/>
    <w:rsid w:val="006B726A"/>
    <w:rsid w:val="006B73CC"/>
    <w:rsid w:val="006B7695"/>
    <w:rsid w:val="006C0176"/>
    <w:rsid w:val="006C2994"/>
    <w:rsid w:val="006C35EC"/>
    <w:rsid w:val="006C3C3D"/>
    <w:rsid w:val="006C4150"/>
    <w:rsid w:val="006C4382"/>
    <w:rsid w:val="006C4891"/>
    <w:rsid w:val="006C524F"/>
    <w:rsid w:val="006C5683"/>
    <w:rsid w:val="006C5E33"/>
    <w:rsid w:val="006C5E48"/>
    <w:rsid w:val="006C6434"/>
    <w:rsid w:val="006C6CD8"/>
    <w:rsid w:val="006C70BB"/>
    <w:rsid w:val="006C7EB1"/>
    <w:rsid w:val="006D013F"/>
    <w:rsid w:val="006D017F"/>
    <w:rsid w:val="006D08BD"/>
    <w:rsid w:val="006D0C93"/>
    <w:rsid w:val="006D0F8E"/>
    <w:rsid w:val="006D1416"/>
    <w:rsid w:val="006D1D3F"/>
    <w:rsid w:val="006D253B"/>
    <w:rsid w:val="006D325A"/>
    <w:rsid w:val="006D386A"/>
    <w:rsid w:val="006D4242"/>
    <w:rsid w:val="006D45F0"/>
    <w:rsid w:val="006D4753"/>
    <w:rsid w:val="006D4C8F"/>
    <w:rsid w:val="006D52A0"/>
    <w:rsid w:val="006D57CB"/>
    <w:rsid w:val="006D5819"/>
    <w:rsid w:val="006D5E6F"/>
    <w:rsid w:val="006D693F"/>
    <w:rsid w:val="006D6CDD"/>
    <w:rsid w:val="006D7604"/>
    <w:rsid w:val="006D765E"/>
    <w:rsid w:val="006D76CB"/>
    <w:rsid w:val="006E0455"/>
    <w:rsid w:val="006E4238"/>
    <w:rsid w:val="006E4551"/>
    <w:rsid w:val="006E4667"/>
    <w:rsid w:val="006E5F01"/>
    <w:rsid w:val="006E7033"/>
    <w:rsid w:val="006E7404"/>
    <w:rsid w:val="006E7B97"/>
    <w:rsid w:val="006F05B9"/>
    <w:rsid w:val="006F19EF"/>
    <w:rsid w:val="006F1EA3"/>
    <w:rsid w:val="006F2627"/>
    <w:rsid w:val="006F3187"/>
    <w:rsid w:val="006F3568"/>
    <w:rsid w:val="006F40AD"/>
    <w:rsid w:val="006F46F0"/>
    <w:rsid w:val="006F53EB"/>
    <w:rsid w:val="006F6360"/>
    <w:rsid w:val="006F6436"/>
    <w:rsid w:val="006F65C5"/>
    <w:rsid w:val="006F687A"/>
    <w:rsid w:val="006F68EF"/>
    <w:rsid w:val="006F6D4C"/>
    <w:rsid w:val="006F6E67"/>
    <w:rsid w:val="006F7157"/>
    <w:rsid w:val="006F78E0"/>
    <w:rsid w:val="006F7B56"/>
    <w:rsid w:val="0070102F"/>
    <w:rsid w:val="007023EA"/>
    <w:rsid w:val="00702B1B"/>
    <w:rsid w:val="007032B3"/>
    <w:rsid w:val="00704164"/>
    <w:rsid w:val="007063BD"/>
    <w:rsid w:val="00706A58"/>
    <w:rsid w:val="00707517"/>
    <w:rsid w:val="007078ED"/>
    <w:rsid w:val="00710187"/>
    <w:rsid w:val="007110E1"/>
    <w:rsid w:val="00711B18"/>
    <w:rsid w:val="007126D1"/>
    <w:rsid w:val="00713EA9"/>
    <w:rsid w:val="00713EEE"/>
    <w:rsid w:val="00714394"/>
    <w:rsid w:val="00714C87"/>
    <w:rsid w:val="00714ED6"/>
    <w:rsid w:val="00715E8D"/>
    <w:rsid w:val="00721C26"/>
    <w:rsid w:val="00721F7E"/>
    <w:rsid w:val="00722D57"/>
    <w:rsid w:val="00722E29"/>
    <w:rsid w:val="00723ECB"/>
    <w:rsid w:val="00724493"/>
    <w:rsid w:val="00724606"/>
    <w:rsid w:val="00724A36"/>
    <w:rsid w:val="00724A60"/>
    <w:rsid w:val="00724E85"/>
    <w:rsid w:val="0072525D"/>
    <w:rsid w:val="00726E8A"/>
    <w:rsid w:val="00727047"/>
    <w:rsid w:val="00727A0E"/>
    <w:rsid w:val="007301DF"/>
    <w:rsid w:val="00730255"/>
    <w:rsid w:val="00733128"/>
    <w:rsid w:val="00734510"/>
    <w:rsid w:val="00734887"/>
    <w:rsid w:val="007365B6"/>
    <w:rsid w:val="00737394"/>
    <w:rsid w:val="00737B86"/>
    <w:rsid w:val="007401E2"/>
    <w:rsid w:val="00740205"/>
    <w:rsid w:val="007411E5"/>
    <w:rsid w:val="00741605"/>
    <w:rsid w:val="00741DCD"/>
    <w:rsid w:val="00742788"/>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61434"/>
    <w:rsid w:val="00761FD5"/>
    <w:rsid w:val="00762BB6"/>
    <w:rsid w:val="00762EBF"/>
    <w:rsid w:val="0076341D"/>
    <w:rsid w:val="0076446D"/>
    <w:rsid w:val="007647EF"/>
    <w:rsid w:val="00765DD8"/>
    <w:rsid w:val="00766B33"/>
    <w:rsid w:val="00766D36"/>
    <w:rsid w:val="00767607"/>
    <w:rsid w:val="00767ACD"/>
    <w:rsid w:val="007705B5"/>
    <w:rsid w:val="00770D5E"/>
    <w:rsid w:val="0077270D"/>
    <w:rsid w:val="007733CB"/>
    <w:rsid w:val="00773874"/>
    <w:rsid w:val="0077393B"/>
    <w:rsid w:val="00775D3B"/>
    <w:rsid w:val="0077615A"/>
    <w:rsid w:val="00776FCF"/>
    <w:rsid w:val="007806A0"/>
    <w:rsid w:val="00781688"/>
    <w:rsid w:val="00782346"/>
    <w:rsid w:val="00783495"/>
    <w:rsid w:val="007838CD"/>
    <w:rsid w:val="00783E07"/>
    <w:rsid w:val="007840F3"/>
    <w:rsid w:val="007849BE"/>
    <w:rsid w:val="00785491"/>
    <w:rsid w:val="007858C0"/>
    <w:rsid w:val="0078679A"/>
    <w:rsid w:val="007871FE"/>
    <w:rsid w:val="00787C89"/>
    <w:rsid w:val="00790730"/>
    <w:rsid w:val="007908ED"/>
    <w:rsid w:val="00790F74"/>
    <w:rsid w:val="00792288"/>
    <w:rsid w:val="00792447"/>
    <w:rsid w:val="007928C6"/>
    <w:rsid w:val="00792E73"/>
    <w:rsid w:val="0079694C"/>
    <w:rsid w:val="007A0187"/>
    <w:rsid w:val="007A19AC"/>
    <w:rsid w:val="007A268F"/>
    <w:rsid w:val="007A29EC"/>
    <w:rsid w:val="007A4A53"/>
    <w:rsid w:val="007A4C93"/>
    <w:rsid w:val="007A4E17"/>
    <w:rsid w:val="007A7F6D"/>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041"/>
    <w:rsid w:val="007C3A26"/>
    <w:rsid w:val="007C4032"/>
    <w:rsid w:val="007C4CE1"/>
    <w:rsid w:val="007C537A"/>
    <w:rsid w:val="007C57D1"/>
    <w:rsid w:val="007C6B3E"/>
    <w:rsid w:val="007C7130"/>
    <w:rsid w:val="007C74E5"/>
    <w:rsid w:val="007C7B58"/>
    <w:rsid w:val="007C7F57"/>
    <w:rsid w:val="007D0137"/>
    <w:rsid w:val="007D0348"/>
    <w:rsid w:val="007D0E43"/>
    <w:rsid w:val="007D13E7"/>
    <w:rsid w:val="007D1A3E"/>
    <w:rsid w:val="007D1E37"/>
    <w:rsid w:val="007D2335"/>
    <w:rsid w:val="007D358B"/>
    <w:rsid w:val="007D370E"/>
    <w:rsid w:val="007D4624"/>
    <w:rsid w:val="007D563E"/>
    <w:rsid w:val="007D5A49"/>
    <w:rsid w:val="007D5FC1"/>
    <w:rsid w:val="007D6E2E"/>
    <w:rsid w:val="007D6EB6"/>
    <w:rsid w:val="007D715A"/>
    <w:rsid w:val="007D7895"/>
    <w:rsid w:val="007D7B6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391"/>
    <w:rsid w:val="007E6761"/>
    <w:rsid w:val="007E7215"/>
    <w:rsid w:val="007E75F0"/>
    <w:rsid w:val="007E7968"/>
    <w:rsid w:val="007E79C4"/>
    <w:rsid w:val="007F013A"/>
    <w:rsid w:val="007F0730"/>
    <w:rsid w:val="007F1D54"/>
    <w:rsid w:val="007F2D90"/>
    <w:rsid w:val="007F3F6F"/>
    <w:rsid w:val="007F427C"/>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A84"/>
    <w:rsid w:val="008073A4"/>
    <w:rsid w:val="00807C6C"/>
    <w:rsid w:val="008115ED"/>
    <w:rsid w:val="0081254B"/>
    <w:rsid w:val="0081340B"/>
    <w:rsid w:val="0081442F"/>
    <w:rsid w:val="00815822"/>
    <w:rsid w:val="00815B93"/>
    <w:rsid w:val="00816585"/>
    <w:rsid w:val="00816770"/>
    <w:rsid w:val="0081760E"/>
    <w:rsid w:val="00817BB4"/>
    <w:rsid w:val="00817E4F"/>
    <w:rsid w:val="00820F5B"/>
    <w:rsid w:val="00821021"/>
    <w:rsid w:val="008214BB"/>
    <w:rsid w:val="00821B58"/>
    <w:rsid w:val="008227AA"/>
    <w:rsid w:val="00822D4E"/>
    <w:rsid w:val="00822FBA"/>
    <w:rsid w:val="0082398C"/>
    <w:rsid w:val="00824FF1"/>
    <w:rsid w:val="00825196"/>
    <w:rsid w:val="00826F4C"/>
    <w:rsid w:val="008303A6"/>
    <w:rsid w:val="008310B4"/>
    <w:rsid w:val="00831573"/>
    <w:rsid w:val="00831C7F"/>
    <w:rsid w:val="00833C51"/>
    <w:rsid w:val="00834577"/>
    <w:rsid w:val="008349A6"/>
    <w:rsid w:val="00835271"/>
    <w:rsid w:val="00835679"/>
    <w:rsid w:val="008360BF"/>
    <w:rsid w:val="008377DA"/>
    <w:rsid w:val="00841F21"/>
    <w:rsid w:val="00842991"/>
    <w:rsid w:val="008429B0"/>
    <w:rsid w:val="00843900"/>
    <w:rsid w:val="00844C5B"/>
    <w:rsid w:val="00845A15"/>
    <w:rsid w:val="0084632F"/>
    <w:rsid w:val="008474A9"/>
    <w:rsid w:val="0085113E"/>
    <w:rsid w:val="00851180"/>
    <w:rsid w:val="00852528"/>
    <w:rsid w:val="00853287"/>
    <w:rsid w:val="0085434F"/>
    <w:rsid w:val="008543F7"/>
    <w:rsid w:val="008545DC"/>
    <w:rsid w:val="00854A7E"/>
    <w:rsid w:val="00855B06"/>
    <w:rsid w:val="00856B95"/>
    <w:rsid w:val="00856D1A"/>
    <w:rsid w:val="00857D29"/>
    <w:rsid w:val="0086161C"/>
    <w:rsid w:val="008617AF"/>
    <w:rsid w:val="00861DB0"/>
    <w:rsid w:val="00861E83"/>
    <w:rsid w:val="0086225C"/>
    <w:rsid w:val="008629A8"/>
    <w:rsid w:val="00863225"/>
    <w:rsid w:val="00863ADA"/>
    <w:rsid w:val="00865BAA"/>
    <w:rsid w:val="0086666B"/>
    <w:rsid w:val="008677CB"/>
    <w:rsid w:val="008679E4"/>
    <w:rsid w:val="008701FC"/>
    <w:rsid w:val="0087056E"/>
    <w:rsid w:val="00870CB6"/>
    <w:rsid w:val="008733D6"/>
    <w:rsid w:val="008737AE"/>
    <w:rsid w:val="00873FEA"/>
    <w:rsid w:val="0087419B"/>
    <w:rsid w:val="008744CC"/>
    <w:rsid w:val="00874592"/>
    <w:rsid w:val="008751C1"/>
    <w:rsid w:val="0087683C"/>
    <w:rsid w:val="0087699A"/>
    <w:rsid w:val="00876C1B"/>
    <w:rsid w:val="00876E70"/>
    <w:rsid w:val="008804E1"/>
    <w:rsid w:val="008815B6"/>
    <w:rsid w:val="008818F6"/>
    <w:rsid w:val="00881D45"/>
    <w:rsid w:val="0088398E"/>
    <w:rsid w:val="00884470"/>
    <w:rsid w:val="00885182"/>
    <w:rsid w:val="008858B7"/>
    <w:rsid w:val="0088647E"/>
    <w:rsid w:val="00886D52"/>
    <w:rsid w:val="0088710B"/>
    <w:rsid w:val="00887215"/>
    <w:rsid w:val="00887E02"/>
    <w:rsid w:val="00890382"/>
    <w:rsid w:val="0089046A"/>
    <w:rsid w:val="00891106"/>
    <w:rsid w:val="00892833"/>
    <w:rsid w:val="00893479"/>
    <w:rsid w:val="0089375D"/>
    <w:rsid w:val="008943CB"/>
    <w:rsid w:val="008946B9"/>
    <w:rsid w:val="008A0882"/>
    <w:rsid w:val="008A10C1"/>
    <w:rsid w:val="008A181A"/>
    <w:rsid w:val="008A183F"/>
    <w:rsid w:val="008A1C47"/>
    <w:rsid w:val="008A2289"/>
    <w:rsid w:val="008A3766"/>
    <w:rsid w:val="008A4F66"/>
    <w:rsid w:val="008A5290"/>
    <w:rsid w:val="008A593A"/>
    <w:rsid w:val="008A6A2E"/>
    <w:rsid w:val="008A6A60"/>
    <w:rsid w:val="008A6C5A"/>
    <w:rsid w:val="008A6CCA"/>
    <w:rsid w:val="008A6D86"/>
    <w:rsid w:val="008B1B8C"/>
    <w:rsid w:val="008B2C59"/>
    <w:rsid w:val="008B2DF3"/>
    <w:rsid w:val="008B376A"/>
    <w:rsid w:val="008B3C4D"/>
    <w:rsid w:val="008B444E"/>
    <w:rsid w:val="008B5160"/>
    <w:rsid w:val="008B569F"/>
    <w:rsid w:val="008B7220"/>
    <w:rsid w:val="008C0669"/>
    <w:rsid w:val="008C08A5"/>
    <w:rsid w:val="008C1DD7"/>
    <w:rsid w:val="008C26FA"/>
    <w:rsid w:val="008C2BC1"/>
    <w:rsid w:val="008C3E96"/>
    <w:rsid w:val="008C4566"/>
    <w:rsid w:val="008C46B6"/>
    <w:rsid w:val="008C522A"/>
    <w:rsid w:val="008C5E71"/>
    <w:rsid w:val="008C64E3"/>
    <w:rsid w:val="008C6A8B"/>
    <w:rsid w:val="008C77F7"/>
    <w:rsid w:val="008D00EA"/>
    <w:rsid w:val="008D0D1E"/>
    <w:rsid w:val="008D1175"/>
    <w:rsid w:val="008D1627"/>
    <w:rsid w:val="008D1C85"/>
    <w:rsid w:val="008D1DA0"/>
    <w:rsid w:val="008D2828"/>
    <w:rsid w:val="008D2831"/>
    <w:rsid w:val="008D284E"/>
    <w:rsid w:val="008D4ED3"/>
    <w:rsid w:val="008D54BF"/>
    <w:rsid w:val="008D5DC6"/>
    <w:rsid w:val="008D6A11"/>
    <w:rsid w:val="008E0D4B"/>
    <w:rsid w:val="008E1C27"/>
    <w:rsid w:val="008E1E54"/>
    <w:rsid w:val="008E2057"/>
    <w:rsid w:val="008E31EC"/>
    <w:rsid w:val="008E3C88"/>
    <w:rsid w:val="008E4E17"/>
    <w:rsid w:val="008E5337"/>
    <w:rsid w:val="008E610D"/>
    <w:rsid w:val="008E65E0"/>
    <w:rsid w:val="008E69A2"/>
    <w:rsid w:val="008E75B9"/>
    <w:rsid w:val="008E78F2"/>
    <w:rsid w:val="008E7B12"/>
    <w:rsid w:val="008F022C"/>
    <w:rsid w:val="008F152D"/>
    <w:rsid w:val="008F1B54"/>
    <w:rsid w:val="008F2A60"/>
    <w:rsid w:val="008F310D"/>
    <w:rsid w:val="008F3888"/>
    <w:rsid w:val="008F3B22"/>
    <w:rsid w:val="008F43C7"/>
    <w:rsid w:val="008F4823"/>
    <w:rsid w:val="008F606D"/>
    <w:rsid w:val="008F7150"/>
    <w:rsid w:val="008F71CC"/>
    <w:rsid w:val="008F721C"/>
    <w:rsid w:val="00900662"/>
    <w:rsid w:val="00901448"/>
    <w:rsid w:val="00901953"/>
    <w:rsid w:val="00902166"/>
    <w:rsid w:val="00903C31"/>
    <w:rsid w:val="009040A1"/>
    <w:rsid w:val="0090473B"/>
    <w:rsid w:val="0090487F"/>
    <w:rsid w:val="00904EAC"/>
    <w:rsid w:val="00905282"/>
    <w:rsid w:val="00905908"/>
    <w:rsid w:val="00906EE2"/>
    <w:rsid w:val="009075A4"/>
    <w:rsid w:val="009101AF"/>
    <w:rsid w:val="00911808"/>
    <w:rsid w:val="009145FB"/>
    <w:rsid w:val="0091555E"/>
    <w:rsid w:val="00915786"/>
    <w:rsid w:val="0091746C"/>
    <w:rsid w:val="00917816"/>
    <w:rsid w:val="00917D06"/>
    <w:rsid w:val="009207DB"/>
    <w:rsid w:val="00922024"/>
    <w:rsid w:val="009222A3"/>
    <w:rsid w:val="00922D24"/>
    <w:rsid w:val="009237CC"/>
    <w:rsid w:val="00923D9E"/>
    <w:rsid w:val="00924853"/>
    <w:rsid w:val="009252E0"/>
    <w:rsid w:val="00925501"/>
    <w:rsid w:val="00926982"/>
    <w:rsid w:val="00926D4C"/>
    <w:rsid w:val="009270C4"/>
    <w:rsid w:val="00927127"/>
    <w:rsid w:val="0093083B"/>
    <w:rsid w:val="0093092B"/>
    <w:rsid w:val="009319D7"/>
    <w:rsid w:val="009325F7"/>
    <w:rsid w:val="0093275C"/>
    <w:rsid w:val="00932BCF"/>
    <w:rsid w:val="00933396"/>
    <w:rsid w:val="00934D73"/>
    <w:rsid w:val="00935042"/>
    <w:rsid w:val="009354F5"/>
    <w:rsid w:val="009357C1"/>
    <w:rsid w:val="009360A8"/>
    <w:rsid w:val="00936899"/>
    <w:rsid w:val="0093740F"/>
    <w:rsid w:val="00937B4A"/>
    <w:rsid w:val="00937BE9"/>
    <w:rsid w:val="00937C1D"/>
    <w:rsid w:val="00940804"/>
    <w:rsid w:val="00940E9B"/>
    <w:rsid w:val="00940FC3"/>
    <w:rsid w:val="009410B3"/>
    <w:rsid w:val="0094131D"/>
    <w:rsid w:val="0094166C"/>
    <w:rsid w:val="00942120"/>
    <w:rsid w:val="00942292"/>
    <w:rsid w:val="0094245E"/>
    <w:rsid w:val="009425F7"/>
    <w:rsid w:val="00942804"/>
    <w:rsid w:val="00943BC0"/>
    <w:rsid w:val="00944BF0"/>
    <w:rsid w:val="00945FE8"/>
    <w:rsid w:val="00946136"/>
    <w:rsid w:val="0094646D"/>
    <w:rsid w:val="00946CD9"/>
    <w:rsid w:val="00946E7C"/>
    <w:rsid w:val="00947046"/>
    <w:rsid w:val="00950297"/>
    <w:rsid w:val="009505F4"/>
    <w:rsid w:val="00951216"/>
    <w:rsid w:val="0095279B"/>
    <w:rsid w:val="009533C3"/>
    <w:rsid w:val="009539CE"/>
    <w:rsid w:val="00954282"/>
    <w:rsid w:val="00954427"/>
    <w:rsid w:val="0095611C"/>
    <w:rsid w:val="009564ED"/>
    <w:rsid w:val="00956CA2"/>
    <w:rsid w:val="0096079B"/>
    <w:rsid w:val="0096092E"/>
    <w:rsid w:val="0096218D"/>
    <w:rsid w:val="00964509"/>
    <w:rsid w:val="0096501B"/>
    <w:rsid w:val="0096662B"/>
    <w:rsid w:val="009666AF"/>
    <w:rsid w:val="00967180"/>
    <w:rsid w:val="0096797D"/>
    <w:rsid w:val="00970704"/>
    <w:rsid w:val="00970B65"/>
    <w:rsid w:val="00971127"/>
    <w:rsid w:val="0097119E"/>
    <w:rsid w:val="009718E9"/>
    <w:rsid w:val="009734B8"/>
    <w:rsid w:val="00973514"/>
    <w:rsid w:val="009739F9"/>
    <w:rsid w:val="009741E7"/>
    <w:rsid w:val="00975C75"/>
    <w:rsid w:val="00977506"/>
    <w:rsid w:val="00977DFD"/>
    <w:rsid w:val="0098177A"/>
    <w:rsid w:val="00983583"/>
    <w:rsid w:val="00983EFD"/>
    <w:rsid w:val="0098491D"/>
    <w:rsid w:val="009855B0"/>
    <w:rsid w:val="009859A8"/>
    <w:rsid w:val="00986257"/>
    <w:rsid w:val="0098658A"/>
    <w:rsid w:val="00986861"/>
    <w:rsid w:val="00987CBC"/>
    <w:rsid w:val="00991EB0"/>
    <w:rsid w:val="0099212B"/>
    <w:rsid w:val="0099245F"/>
    <w:rsid w:val="00994087"/>
    <w:rsid w:val="00994A82"/>
    <w:rsid w:val="00995768"/>
    <w:rsid w:val="00995F21"/>
    <w:rsid w:val="00996203"/>
    <w:rsid w:val="00996326"/>
    <w:rsid w:val="00996394"/>
    <w:rsid w:val="00996F95"/>
    <w:rsid w:val="00997B35"/>
    <w:rsid w:val="00997EA5"/>
    <w:rsid w:val="009A07D5"/>
    <w:rsid w:val="009A1FE7"/>
    <w:rsid w:val="009A2592"/>
    <w:rsid w:val="009A2967"/>
    <w:rsid w:val="009A30BF"/>
    <w:rsid w:val="009A36B7"/>
    <w:rsid w:val="009A3720"/>
    <w:rsid w:val="009A392B"/>
    <w:rsid w:val="009A42CF"/>
    <w:rsid w:val="009A44E8"/>
    <w:rsid w:val="009A581E"/>
    <w:rsid w:val="009A66D8"/>
    <w:rsid w:val="009A698D"/>
    <w:rsid w:val="009A71B9"/>
    <w:rsid w:val="009B04E4"/>
    <w:rsid w:val="009B1DA5"/>
    <w:rsid w:val="009B1E1D"/>
    <w:rsid w:val="009B28FD"/>
    <w:rsid w:val="009B2AD6"/>
    <w:rsid w:val="009B3172"/>
    <w:rsid w:val="009B461D"/>
    <w:rsid w:val="009B4F1F"/>
    <w:rsid w:val="009B5213"/>
    <w:rsid w:val="009B5594"/>
    <w:rsid w:val="009B59ED"/>
    <w:rsid w:val="009B6405"/>
    <w:rsid w:val="009B729E"/>
    <w:rsid w:val="009B7498"/>
    <w:rsid w:val="009C264B"/>
    <w:rsid w:val="009C34F1"/>
    <w:rsid w:val="009C3B80"/>
    <w:rsid w:val="009C3D73"/>
    <w:rsid w:val="009C3D84"/>
    <w:rsid w:val="009C48C6"/>
    <w:rsid w:val="009C5D76"/>
    <w:rsid w:val="009C5DFB"/>
    <w:rsid w:val="009C5FDE"/>
    <w:rsid w:val="009C63AB"/>
    <w:rsid w:val="009C7258"/>
    <w:rsid w:val="009C7B1D"/>
    <w:rsid w:val="009C7F10"/>
    <w:rsid w:val="009C7FF8"/>
    <w:rsid w:val="009D03F1"/>
    <w:rsid w:val="009D0921"/>
    <w:rsid w:val="009D101B"/>
    <w:rsid w:val="009D118E"/>
    <w:rsid w:val="009D1CF4"/>
    <w:rsid w:val="009D380F"/>
    <w:rsid w:val="009D57A7"/>
    <w:rsid w:val="009D65EE"/>
    <w:rsid w:val="009D6903"/>
    <w:rsid w:val="009E0525"/>
    <w:rsid w:val="009E199C"/>
    <w:rsid w:val="009E20A6"/>
    <w:rsid w:val="009E233F"/>
    <w:rsid w:val="009E323A"/>
    <w:rsid w:val="009E328B"/>
    <w:rsid w:val="009E68C1"/>
    <w:rsid w:val="009E6DD0"/>
    <w:rsid w:val="009E6DEE"/>
    <w:rsid w:val="009E700C"/>
    <w:rsid w:val="009E7CA1"/>
    <w:rsid w:val="009F082A"/>
    <w:rsid w:val="009F0BD9"/>
    <w:rsid w:val="009F12B4"/>
    <w:rsid w:val="009F329D"/>
    <w:rsid w:val="009F33FA"/>
    <w:rsid w:val="009F347C"/>
    <w:rsid w:val="009F3F14"/>
    <w:rsid w:val="009F45F7"/>
    <w:rsid w:val="009F54D7"/>
    <w:rsid w:val="009F5B9D"/>
    <w:rsid w:val="009F6619"/>
    <w:rsid w:val="009F68FF"/>
    <w:rsid w:val="00A00E77"/>
    <w:rsid w:val="00A017B5"/>
    <w:rsid w:val="00A01A4C"/>
    <w:rsid w:val="00A01C1F"/>
    <w:rsid w:val="00A01C98"/>
    <w:rsid w:val="00A020F7"/>
    <w:rsid w:val="00A025E5"/>
    <w:rsid w:val="00A054CB"/>
    <w:rsid w:val="00A05E8F"/>
    <w:rsid w:val="00A06A54"/>
    <w:rsid w:val="00A10423"/>
    <w:rsid w:val="00A10A6F"/>
    <w:rsid w:val="00A115B1"/>
    <w:rsid w:val="00A118B4"/>
    <w:rsid w:val="00A129C6"/>
    <w:rsid w:val="00A13118"/>
    <w:rsid w:val="00A14752"/>
    <w:rsid w:val="00A14BDD"/>
    <w:rsid w:val="00A15A52"/>
    <w:rsid w:val="00A1706F"/>
    <w:rsid w:val="00A1721D"/>
    <w:rsid w:val="00A20630"/>
    <w:rsid w:val="00A20956"/>
    <w:rsid w:val="00A210DB"/>
    <w:rsid w:val="00A21667"/>
    <w:rsid w:val="00A220FB"/>
    <w:rsid w:val="00A223A5"/>
    <w:rsid w:val="00A22946"/>
    <w:rsid w:val="00A22E3D"/>
    <w:rsid w:val="00A241FD"/>
    <w:rsid w:val="00A242B5"/>
    <w:rsid w:val="00A24BC5"/>
    <w:rsid w:val="00A2504C"/>
    <w:rsid w:val="00A255E4"/>
    <w:rsid w:val="00A26CA4"/>
    <w:rsid w:val="00A26E5D"/>
    <w:rsid w:val="00A276A6"/>
    <w:rsid w:val="00A276FF"/>
    <w:rsid w:val="00A30C82"/>
    <w:rsid w:val="00A31A01"/>
    <w:rsid w:val="00A32211"/>
    <w:rsid w:val="00A33842"/>
    <w:rsid w:val="00A33FDC"/>
    <w:rsid w:val="00A34114"/>
    <w:rsid w:val="00A34C81"/>
    <w:rsid w:val="00A34E19"/>
    <w:rsid w:val="00A35C90"/>
    <w:rsid w:val="00A362F9"/>
    <w:rsid w:val="00A36F35"/>
    <w:rsid w:val="00A373CC"/>
    <w:rsid w:val="00A3760C"/>
    <w:rsid w:val="00A37704"/>
    <w:rsid w:val="00A378A0"/>
    <w:rsid w:val="00A37E59"/>
    <w:rsid w:val="00A40108"/>
    <w:rsid w:val="00A40304"/>
    <w:rsid w:val="00A40D0C"/>
    <w:rsid w:val="00A41302"/>
    <w:rsid w:val="00A4170A"/>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173"/>
    <w:rsid w:val="00A56547"/>
    <w:rsid w:val="00A57079"/>
    <w:rsid w:val="00A570E0"/>
    <w:rsid w:val="00A57D32"/>
    <w:rsid w:val="00A606A0"/>
    <w:rsid w:val="00A60943"/>
    <w:rsid w:val="00A60A2E"/>
    <w:rsid w:val="00A60A60"/>
    <w:rsid w:val="00A610DF"/>
    <w:rsid w:val="00A61263"/>
    <w:rsid w:val="00A614AD"/>
    <w:rsid w:val="00A61886"/>
    <w:rsid w:val="00A61E92"/>
    <w:rsid w:val="00A63D89"/>
    <w:rsid w:val="00A645F6"/>
    <w:rsid w:val="00A650F1"/>
    <w:rsid w:val="00A6526E"/>
    <w:rsid w:val="00A65DA4"/>
    <w:rsid w:val="00A66E04"/>
    <w:rsid w:val="00A67194"/>
    <w:rsid w:val="00A671B3"/>
    <w:rsid w:val="00A67864"/>
    <w:rsid w:val="00A7040E"/>
    <w:rsid w:val="00A7286F"/>
    <w:rsid w:val="00A734F2"/>
    <w:rsid w:val="00A73DEE"/>
    <w:rsid w:val="00A74678"/>
    <w:rsid w:val="00A75AEA"/>
    <w:rsid w:val="00A76063"/>
    <w:rsid w:val="00A767EB"/>
    <w:rsid w:val="00A771BF"/>
    <w:rsid w:val="00A77299"/>
    <w:rsid w:val="00A803C1"/>
    <w:rsid w:val="00A815B6"/>
    <w:rsid w:val="00A81953"/>
    <w:rsid w:val="00A821B7"/>
    <w:rsid w:val="00A823D7"/>
    <w:rsid w:val="00A827C9"/>
    <w:rsid w:val="00A82A67"/>
    <w:rsid w:val="00A85B31"/>
    <w:rsid w:val="00A861F3"/>
    <w:rsid w:val="00A86C48"/>
    <w:rsid w:val="00A90DB1"/>
    <w:rsid w:val="00A9100A"/>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D62"/>
    <w:rsid w:val="00AA2E2C"/>
    <w:rsid w:val="00AA2E90"/>
    <w:rsid w:val="00AA3077"/>
    <w:rsid w:val="00AA32A5"/>
    <w:rsid w:val="00AA375B"/>
    <w:rsid w:val="00AA384B"/>
    <w:rsid w:val="00AA38AF"/>
    <w:rsid w:val="00AA450C"/>
    <w:rsid w:val="00AA4B62"/>
    <w:rsid w:val="00AA5EB3"/>
    <w:rsid w:val="00AA6916"/>
    <w:rsid w:val="00AB040A"/>
    <w:rsid w:val="00AB110E"/>
    <w:rsid w:val="00AB11CF"/>
    <w:rsid w:val="00AB1287"/>
    <w:rsid w:val="00AB1A29"/>
    <w:rsid w:val="00AB1CE8"/>
    <w:rsid w:val="00AB2F06"/>
    <w:rsid w:val="00AB4FFF"/>
    <w:rsid w:val="00AB5190"/>
    <w:rsid w:val="00AB5513"/>
    <w:rsid w:val="00AB6070"/>
    <w:rsid w:val="00AB6DFC"/>
    <w:rsid w:val="00AB7354"/>
    <w:rsid w:val="00AB78F3"/>
    <w:rsid w:val="00AB7C46"/>
    <w:rsid w:val="00AB7DD5"/>
    <w:rsid w:val="00AC1E81"/>
    <w:rsid w:val="00AC3637"/>
    <w:rsid w:val="00AC3D4F"/>
    <w:rsid w:val="00AC3DB7"/>
    <w:rsid w:val="00AC4699"/>
    <w:rsid w:val="00AC5650"/>
    <w:rsid w:val="00AC59DF"/>
    <w:rsid w:val="00AC72C7"/>
    <w:rsid w:val="00AC7500"/>
    <w:rsid w:val="00AC7899"/>
    <w:rsid w:val="00AD13D6"/>
    <w:rsid w:val="00AD2932"/>
    <w:rsid w:val="00AD3B01"/>
    <w:rsid w:val="00AD4087"/>
    <w:rsid w:val="00AD4E6E"/>
    <w:rsid w:val="00AD5D7F"/>
    <w:rsid w:val="00AD6A21"/>
    <w:rsid w:val="00AD6BE0"/>
    <w:rsid w:val="00AD752F"/>
    <w:rsid w:val="00AD7BAE"/>
    <w:rsid w:val="00AE0C8D"/>
    <w:rsid w:val="00AE0E2A"/>
    <w:rsid w:val="00AE1411"/>
    <w:rsid w:val="00AE19B4"/>
    <w:rsid w:val="00AE2330"/>
    <w:rsid w:val="00AE3CBC"/>
    <w:rsid w:val="00AE55BC"/>
    <w:rsid w:val="00AE62E7"/>
    <w:rsid w:val="00AE686D"/>
    <w:rsid w:val="00AE6B27"/>
    <w:rsid w:val="00AF0DC0"/>
    <w:rsid w:val="00AF0F96"/>
    <w:rsid w:val="00AF21D7"/>
    <w:rsid w:val="00AF28EB"/>
    <w:rsid w:val="00AF31BA"/>
    <w:rsid w:val="00AF36B6"/>
    <w:rsid w:val="00AF4241"/>
    <w:rsid w:val="00AF4803"/>
    <w:rsid w:val="00AF4D10"/>
    <w:rsid w:val="00AF58CB"/>
    <w:rsid w:val="00AF726F"/>
    <w:rsid w:val="00B00506"/>
    <w:rsid w:val="00B00ED5"/>
    <w:rsid w:val="00B0128C"/>
    <w:rsid w:val="00B02315"/>
    <w:rsid w:val="00B02BF0"/>
    <w:rsid w:val="00B02EA8"/>
    <w:rsid w:val="00B034DD"/>
    <w:rsid w:val="00B03AB4"/>
    <w:rsid w:val="00B05B91"/>
    <w:rsid w:val="00B06ED4"/>
    <w:rsid w:val="00B077CC"/>
    <w:rsid w:val="00B07A28"/>
    <w:rsid w:val="00B101E8"/>
    <w:rsid w:val="00B102E7"/>
    <w:rsid w:val="00B12A63"/>
    <w:rsid w:val="00B13397"/>
    <w:rsid w:val="00B1400D"/>
    <w:rsid w:val="00B147C9"/>
    <w:rsid w:val="00B15BB2"/>
    <w:rsid w:val="00B16EBE"/>
    <w:rsid w:val="00B1793F"/>
    <w:rsid w:val="00B20E3B"/>
    <w:rsid w:val="00B21D0E"/>
    <w:rsid w:val="00B22C57"/>
    <w:rsid w:val="00B22CD5"/>
    <w:rsid w:val="00B23C76"/>
    <w:rsid w:val="00B23EEE"/>
    <w:rsid w:val="00B267E2"/>
    <w:rsid w:val="00B27298"/>
    <w:rsid w:val="00B27384"/>
    <w:rsid w:val="00B276E4"/>
    <w:rsid w:val="00B27A6D"/>
    <w:rsid w:val="00B309F9"/>
    <w:rsid w:val="00B30DAD"/>
    <w:rsid w:val="00B31782"/>
    <w:rsid w:val="00B34E4D"/>
    <w:rsid w:val="00B360B7"/>
    <w:rsid w:val="00B36928"/>
    <w:rsid w:val="00B36EEB"/>
    <w:rsid w:val="00B37293"/>
    <w:rsid w:val="00B4076A"/>
    <w:rsid w:val="00B409E5"/>
    <w:rsid w:val="00B40DE0"/>
    <w:rsid w:val="00B413EB"/>
    <w:rsid w:val="00B42C20"/>
    <w:rsid w:val="00B43287"/>
    <w:rsid w:val="00B43864"/>
    <w:rsid w:val="00B43AD9"/>
    <w:rsid w:val="00B443D5"/>
    <w:rsid w:val="00B44482"/>
    <w:rsid w:val="00B450D9"/>
    <w:rsid w:val="00B46FF2"/>
    <w:rsid w:val="00B51B75"/>
    <w:rsid w:val="00B52AD3"/>
    <w:rsid w:val="00B539EB"/>
    <w:rsid w:val="00B54B76"/>
    <w:rsid w:val="00B55ECC"/>
    <w:rsid w:val="00B560E5"/>
    <w:rsid w:val="00B576E1"/>
    <w:rsid w:val="00B6088D"/>
    <w:rsid w:val="00B608F1"/>
    <w:rsid w:val="00B60F79"/>
    <w:rsid w:val="00B6252C"/>
    <w:rsid w:val="00B62CBE"/>
    <w:rsid w:val="00B62EFD"/>
    <w:rsid w:val="00B63999"/>
    <w:rsid w:val="00B63B4A"/>
    <w:rsid w:val="00B63E1F"/>
    <w:rsid w:val="00B641C5"/>
    <w:rsid w:val="00B64F8D"/>
    <w:rsid w:val="00B6533C"/>
    <w:rsid w:val="00B664A9"/>
    <w:rsid w:val="00B66A4E"/>
    <w:rsid w:val="00B6731A"/>
    <w:rsid w:val="00B673CA"/>
    <w:rsid w:val="00B70903"/>
    <w:rsid w:val="00B7108D"/>
    <w:rsid w:val="00B7117A"/>
    <w:rsid w:val="00B713F0"/>
    <w:rsid w:val="00B719E5"/>
    <w:rsid w:val="00B72053"/>
    <w:rsid w:val="00B73BEF"/>
    <w:rsid w:val="00B74530"/>
    <w:rsid w:val="00B74E4D"/>
    <w:rsid w:val="00B75D3F"/>
    <w:rsid w:val="00B75D4C"/>
    <w:rsid w:val="00B76F2C"/>
    <w:rsid w:val="00B77723"/>
    <w:rsid w:val="00B77863"/>
    <w:rsid w:val="00B801AC"/>
    <w:rsid w:val="00B815D3"/>
    <w:rsid w:val="00B8270D"/>
    <w:rsid w:val="00B82B33"/>
    <w:rsid w:val="00B8384C"/>
    <w:rsid w:val="00B84304"/>
    <w:rsid w:val="00B843A1"/>
    <w:rsid w:val="00B854BE"/>
    <w:rsid w:val="00B85704"/>
    <w:rsid w:val="00B866BF"/>
    <w:rsid w:val="00B868D6"/>
    <w:rsid w:val="00B86D0A"/>
    <w:rsid w:val="00B8748B"/>
    <w:rsid w:val="00B87B3F"/>
    <w:rsid w:val="00B9170F"/>
    <w:rsid w:val="00B91818"/>
    <w:rsid w:val="00B922D6"/>
    <w:rsid w:val="00B93B5A"/>
    <w:rsid w:val="00B93E18"/>
    <w:rsid w:val="00B93E2C"/>
    <w:rsid w:val="00B94BE5"/>
    <w:rsid w:val="00B96069"/>
    <w:rsid w:val="00BA077A"/>
    <w:rsid w:val="00BA0A76"/>
    <w:rsid w:val="00BA11A9"/>
    <w:rsid w:val="00BA1642"/>
    <w:rsid w:val="00BA24AE"/>
    <w:rsid w:val="00BA2650"/>
    <w:rsid w:val="00BA30C2"/>
    <w:rsid w:val="00BA31C6"/>
    <w:rsid w:val="00BA4B0A"/>
    <w:rsid w:val="00BA4FE7"/>
    <w:rsid w:val="00BA699B"/>
    <w:rsid w:val="00BA6D78"/>
    <w:rsid w:val="00BA76AB"/>
    <w:rsid w:val="00BB0225"/>
    <w:rsid w:val="00BB0423"/>
    <w:rsid w:val="00BB1D73"/>
    <w:rsid w:val="00BB2CE4"/>
    <w:rsid w:val="00BB2D1B"/>
    <w:rsid w:val="00BB42D2"/>
    <w:rsid w:val="00BB59F1"/>
    <w:rsid w:val="00BB6C48"/>
    <w:rsid w:val="00BB6ECF"/>
    <w:rsid w:val="00BB74B3"/>
    <w:rsid w:val="00BB76B2"/>
    <w:rsid w:val="00BB777A"/>
    <w:rsid w:val="00BC06FE"/>
    <w:rsid w:val="00BC1765"/>
    <w:rsid w:val="00BC1FD6"/>
    <w:rsid w:val="00BC25D7"/>
    <w:rsid w:val="00BC320C"/>
    <w:rsid w:val="00BC4883"/>
    <w:rsid w:val="00BC5454"/>
    <w:rsid w:val="00BC5F7F"/>
    <w:rsid w:val="00BC74EE"/>
    <w:rsid w:val="00BC777E"/>
    <w:rsid w:val="00BD219A"/>
    <w:rsid w:val="00BD24CB"/>
    <w:rsid w:val="00BD2C42"/>
    <w:rsid w:val="00BD2EF9"/>
    <w:rsid w:val="00BD2F1D"/>
    <w:rsid w:val="00BD3997"/>
    <w:rsid w:val="00BD52EA"/>
    <w:rsid w:val="00BD5D7E"/>
    <w:rsid w:val="00BD6EF9"/>
    <w:rsid w:val="00BD70F0"/>
    <w:rsid w:val="00BD754C"/>
    <w:rsid w:val="00BD78C6"/>
    <w:rsid w:val="00BE01E1"/>
    <w:rsid w:val="00BE07A5"/>
    <w:rsid w:val="00BE15DA"/>
    <w:rsid w:val="00BE19AD"/>
    <w:rsid w:val="00BE369C"/>
    <w:rsid w:val="00BE4FBC"/>
    <w:rsid w:val="00BE5B7C"/>
    <w:rsid w:val="00BE685C"/>
    <w:rsid w:val="00BE72FD"/>
    <w:rsid w:val="00BE733C"/>
    <w:rsid w:val="00BE73D4"/>
    <w:rsid w:val="00BE7AF2"/>
    <w:rsid w:val="00BF1EF8"/>
    <w:rsid w:val="00BF25A9"/>
    <w:rsid w:val="00BF2DE5"/>
    <w:rsid w:val="00BF4429"/>
    <w:rsid w:val="00BF4C49"/>
    <w:rsid w:val="00BF4D1A"/>
    <w:rsid w:val="00BF5168"/>
    <w:rsid w:val="00BF51C9"/>
    <w:rsid w:val="00BF5A5B"/>
    <w:rsid w:val="00BF6338"/>
    <w:rsid w:val="00BF6D56"/>
    <w:rsid w:val="00BF78D7"/>
    <w:rsid w:val="00C00D03"/>
    <w:rsid w:val="00C00D9C"/>
    <w:rsid w:val="00C01DFC"/>
    <w:rsid w:val="00C0270E"/>
    <w:rsid w:val="00C0282B"/>
    <w:rsid w:val="00C03262"/>
    <w:rsid w:val="00C03B0F"/>
    <w:rsid w:val="00C047A4"/>
    <w:rsid w:val="00C05013"/>
    <w:rsid w:val="00C067E0"/>
    <w:rsid w:val="00C07087"/>
    <w:rsid w:val="00C0773D"/>
    <w:rsid w:val="00C07DBB"/>
    <w:rsid w:val="00C1025D"/>
    <w:rsid w:val="00C1147E"/>
    <w:rsid w:val="00C11733"/>
    <w:rsid w:val="00C12CC1"/>
    <w:rsid w:val="00C12D93"/>
    <w:rsid w:val="00C12EE2"/>
    <w:rsid w:val="00C12EE5"/>
    <w:rsid w:val="00C1324B"/>
    <w:rsid w:val="00C139DE"/>
    <w:rsid w:val="00C13B55"/>
    <w:rsid w:val="00C13CB8"/>
    <w:rsid w:val="00C14B2B"/>
    <w:rsid w:val="00C151CE"/>
    <w:rsid w:val="00C15BBB"/>
    <w:rsid w:val="00C178AA"/>
    <w:rsid w:val="00C20173"/>
    <w:rsid w:val="00C2092E"/>
    <w:rsid w:val="00C20F37"/>
    <w:rsid w:val="00C213FD"/>
    <w:rsid w:val="00C21C42"/>
    <w:rsid w:val="00C23520"/>
    <w:rsid w:val="00C24AE3"/>
    <w:rsid w:val="00C25082"/>
    <w:rsid w:val="00C2570A"/>
    <w:rsid w:val="00C265D4"/>
    <w:rsid w:val="00C26DC6"/>
    <w:rsid w:val="00C270B6"/>
    <w:rsid w:val="00C27447"/>
    <w:rsid w:val="00C275FC"/>
    <w:rsid w:val="00C30615"/>
    <w:rsid w:val="00C30715"/>
    <w:rsid w:val="00C30D84"/>
    <w:rsid w:val="00C3131B"/>
    <w:rsid w:val="00C317A7"/>
    <w:rsid w:val="00C33614"/>
    <w:rsid w:val="00C33AEC"/>
    <w:rsid w:val="00C344AD"/>
    <w:rsid w:val="00C357CB"/>
    <w:rsid w:val="00C35C8E"/>
    <w:rsid w:val="00C368D7"/>
    <w:rsid w:val="00C36B1D"/>
    <w:rsid w:val="00C3742C"/>
    <w:rsid w:val="00C410D2"/>
    <w:rsid w:val="00C41244"/>
    <w:rsid w:val="00C41363"/>
    <w:rsid w:val="00C4176E"/>
    <w:rsid w:val="00C42A78"/>
    <w:rsid w:val="00C4331C"/>
    <w:rsid w:val="00C437D6"/>
    <w:rsid w:val="00C45AFE"/>
    <w:rsid w:val="00C4601D"/>
    <w:rsid w:val="00C50150"/>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270F"/>
    <w:rsid w:val="00C6324D"/>
    <w:rsid w:val="00C64FAE"/>
    <w:rsid w:val="00C65E61"/>
    <w:rsid w:val="00C66344"/>
    <w:rsid w:val="00C66EDC"/>
    <w:rsid w:val="00C674F7"/>
    <w:rsid w:val="00C67D05"/>
    <w:rsid w:val="00C714EE"/>
    <w:rsid w:val="00C7217D"/>
    <w:rsid w:val="00C731E1"/>
    <w:rsid w:val="00C7443F"/>
    <w:rsid w:val="00C74489"/>
    <w:rsid w:val="00C745D7"/>
    <w:rsid w:val="00C7702A"/>
    <w:rsid w:val="00C7732F"/>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1711"/>
    <w:rsid w:val="00C9274D"/>
    <w:rsid w:val="00C92931"/>
    <w:rsid w:val="00C92949"/>
    <w:rsid w:val="00C9312F"/>
    <w:rsid w:val="00C94499"/>
    <w:rsid w:val="00C9491A"/>
    <w:rsid w:val="00C94BE9"/>
    <w:rsid w:val="00C95DD7"/>
    <w:rsid w:val="00C95ED6"/>
    <w:rsid w:val="00C96BBB"/>
    <w:rsid w:val="00C97E89"/>
    <w:rsid w:val="00CA04D5"/>
    <w:rsid w:val="00CA0CB3"/>
    <w:rsid w:val="00CA1AC8"/>
    <w:rsid w:val="00CA1FB0"/>
    <w:rsid w:val="00CA24D1"/>
    <w:rsid w:val="00CA2AD9"/>
    <w:rsid w:val="00CA39CC"/>
    <w:rsid w:val="00CA403D"/>
    <w:rsid w:val="00CA4743"/>
    <w:rsid w:val="00CA57FE"/>
    <w:rsid w:val="00CA5FF6"/>
    <w:rsid w:val="00CA6540"/>
    <w:rsid w:val="00CA6F32"/>
    <w:rsid w:val="00CA7237"/>
    <w:rsid w:val="00CA735E"/>
    <w:rsid w:val="00CB01B1"/>
    <w:rsid w:val="00CB0F33"/>
    <w:rsid w:val="00CB138F"/>
    <w:rsid w:val="00CB13CF"/>
    <w:rsid w:val="00CB13E0"/>
    <w:rsid w:val="00CB1817"/>
    <w:rsid w:val="00CB2F02"/>
    <w:rsid w:val="00CB44CC"/>
    <w:rsid w:val="00CB4522"/>
    <w:rsid w:val="00CB4AD5"/>
    <w:rsid w:val="00CB675D"/>
    <w:rsid w:val="00CB76B8"/>
    <w:rsid w:val="00CB7703"/>
    <w:rsid w:val="00CB77EE"/>
    <w:rsid w:val="00CB783B"/>
    <w:rsid w:val="00CB7AE2"/>
    <w:rsid w:val="00CC1C1E"/>
    <w:rsid w:val="00CC2611"/>
    <w:rsid w:val="00CC2803"/>
    <w:rsid w:val="00CC295E"/>
    <w:rsid w:val="00CC48D6"/>
    <w:rsid w:val="00CC544C"/>
    <w:rsid w:val="00CC559E"/>
    <w:rsid w:val="00CC707F"/>
    <w:rsid w:val="00CC708A"/>
    <w:rsid w:val="00CC79CD"/>
    <w:rsid w:val="00CD0365"/>
    <w:rsid w:val="00CD1447"/>
    <w:rsid w:val="00CD1841"/>
    <w:rsid w:val="00CD1BF1"/>
    <w:rsid w:val="00CD1D2E"/>
    <w:rsid w:val="00CD27CD"/>
    <w:rsid w:val="00CD4BF8"/>
    <w:rsid w:val="00CD4F82"/>
    <w:rsid w:val="00CD5086"/>
    <w:rsid w:val="00CD52CD"/>
    <w:rsid w:val="00CD652E"/>
    <w:rsid w:val="00CD68A0"/>
    <w:rsid w:val="00CD68DD"/>
    <w:rsid w:val="00CD7B8B"/>
    <w:rsid w:val="00CE01F8"/>
    <w:rsid w:val="00CE24B9"/>
    <w:rsid w:val="00CE2B04"/>
    <w:rsid w:val="00CE3E8B"/>
    <w:rsid w:val="00CE4209"/>
    <w:rsid w:val="00CE47DC"/>
    <w:rsid w:val="00CE5298"/>
    <w:rsid w:val="00CE5322"/>
    <w:rsid w:val="00CE58EB"/>
    <w:rsid w:val="00CE705F"/>
    <w:rsid w:val="00CF0041"/>
    <w:rsid w:val="00CF0D4B"/>
    <w:rsid w:val="00CF2605"/>
    <w:rsid w:val="00CF2804"/>
    <w:rsid w:val="00CF35B2"/>
    <w:rsid w:val="00CF36C4"/>
    <w:rsid w:val="00CF38D4"/>
    <w:rsid w:val="00CF5C07"/>
    <w:rsid w:val="00CF5CFC"/>
    <w:rsid w:val="00D00AF5"/>
    <w:rsid w:val="00D00E75"/>
    <w:rsid w:val="00D00EE2"/>
    <w:rsid w:val="00D01496"/>
    <w:rsid w:val="00D01917"/>
    <w:rsid w:val="00D01EBC"/>
    <w:rsid w:val="00D03DE1"/>
    <w:rsid w:val="00D03EDD"/>
    <w:rsid w:val="00D03EEF"/>
    <w:rsid w:val="00D04F08"/>
    <w:rsid w:val="00D050BB"/>
    <w:rsid w:val="00D07010"/>
    <w:rsid w:val="00D07087"/>
    <w:rsid w:val="00D07A1B"/>
    <w:rsid w:val="00D07E2A"/>
    <w:rsid w:val="00D10558"/>
    <w:rsid w:val="00D11666"/>
    <w:rsid w:val="00D11D07"/>
    <w:rsid w:val="00D12C6A"/>
    <w:rsid w:val="00D138F2"/>
    <w:rsid w:val="00D1489F"/>
    <w:rsid w:val="00D159F8"/>
    <w:rsid w:val="00D15DD2"/>
    <w:rsid w:val="00D16E55"/>
    <w:rsid w:val="00D16ECF"/>
    <w:rsid w:val="00D174D2"/>
    <w:rsid w:val="00D17564"/>
    <w:rsid w:val="00D17C04"/>
    <w:rsid w:val="00D17CFB"/>
    <w:rsid w:val="00D17E3E"/>
    <w:rsid w:val="00D2046D"/>
    <w:rsid w:val="00D21820"/>
    <w:rsid w:val="00D2255E"/>
    <w:rsid w:val="00D22650"/>
    <w:rsid w:val="00D226B9"/>
    <w:rsid w:val="00D22F63"/>
    <w:rsid w:val="00D23437"/>
    <w:rsid w:val="00D2372E"/>
    <w:rsid w:val="00D2373E"/>
    <w:rsid w:val="00D239F4"/>
    <w:rsid w:val="00D2459A"/>
    <w:rsid w:val="00D248D9"/>
    <w:rsid w:val="00D24CAD"/>
    <w:rsid w:val="00D24CD7"/>
    <w:rsid w:val="00D27131"/>
    <w:rsid w:val="00D31AD0"/>
    <w:rsid w:val="00D31BBD"/>
    <w:rsid w:val="00D32615"/>
    <w:rsid w:val="00D34305"/>
    <w:rsid w:val="00D34E83"/>
    <w:rsid w:val="00D35189"/>
    <w:rsid w:val="00D352D0"/>
    <w:rsid w:val="00D37354"/>
    <w:rsid w:val="00D404B1"/>
    <w:rsid w:val="00D4104F"/>
    <w:rsid w:val="00D4306B"/>
    <w:rsid w:val="00D43988"/>
    <w:rsid w:val="00D45014"/>
    <w:rsid w:val="00D4707E"/>
    <w:rsid w:val="00D47238"/>
    <w:rsid w:val="00D4762C"/>
    <w:rsid w:val="00D47867"/>
    <w:rsid w:val="00D47B4E"/>
    <w:rsid w:val="00D47EAF"/>
    <w:rsid w:val="00D50B2A"/>
    <w:rsid w:val="00D51517"/>
    <w:rsid w:val="00D525C7"/>
    <w:rsid w:val="00D52D7F"/>
    <w:rsid w:val="00D53034"/>
    <w:rsid w:val="00D541A8"/>
    <w:rsid w:val="00D55A05"/>
    <w:rsid w:val="00D562A8"/>
    <w:rsid w:val="00D563F4"/>
    <w:rsid w:val="00D61A9F"/>
    <w:rsid w:val="00D61EDD"/>
    <w:rsid w:val="00D628AF"/>
    <w:rsid w:val="00D6294B"/>
    <w:rsid w:val="00D62DAD"/>
    <w:rsid w:val="00D640E3"/>
    <w:rsid w:val="00D64601"/>
    <w:rsid w:val="00D654F8"/>
    <w:rsid w:val="00D65A4C"/>
    <w:rsid w:val="00D66697"/>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3F8E"/>
    <w:rsid w:val="00D74504"/>
    <w:rsid w:val="00D74639"/>
    <w:rsid w:val="00D74926"/>
    <w:rsid w:val="00D75407"/>
    <w:rsid w:val="00D75449"/>
    <w:rsid w:val="00D76A56"/>
    <w:rsid w:val="00D770D5"/>
    <w:rsid w:val="00D809B7"/>
    <w:rsid w:val="00D80A65"/>
    <w:rsid w:val="00D812A9"/>
    <w:rsid w:val="00D813B0"/>
    <w:rsid w:val="00D8141C"/>
    <w:rsid w:val="00D81A57"/>
    <w:rsid w:val="00D81A98"/>
    <w:rsid w:val="00D8269A"/>
    <w:rsid w:val="00D82962"/>
    <w:rsid w:val="00D82A4C"/>
    <w:rsid w:val="00D83A65"/>
    <w:rsid w:val="00D846CF"/>
    <w:rsid w:val="00D84999"/>
    <w:rsid w:val="00D85415"/>
    <w:rsid w:val="00D85683"/>
    <w:rsid w:val="00D8617C"/>
    <w:rsid w:val="00D861E0"/>
    <w:rsid w:val="00D86D21"/>
    <w:rsid w:val="00D8772B"/>
    <w:rsid w:val="00D90824"/>
    <w:rsid w:val="00D90F8A"/>
    <w:rsid w:val="00D91621"/>
    <w:rsid w:val="00D9180B"/>
    <w:rsid w:val="00D92087"/>
    <w:rsid w:val="00D925BC"/>
    <w:rsid w:val="00D9323B"/>
    <w:rsid w:val="00D94EB6"/>
    <w:rsid w:val="00D95111"/>
    <w:rsid w:val="00D954B6"/>
    <w:rsid w:val="00D9553A"/>
    <w:rsid w:val="00D958D2"/>
    <w:rsid w:val="00D95C5C"/>
    <w:rsid w:val="00D96B91"/>
    <w:rsid w:val="00D9740F"/>
    <w:rsid w:val="00D97545"/>
    <w:rsid w:val="00D9787B"/>
    <w:rsid w:val="00D97BA1"/>
    <w:rsid w:val="00DA0093"/>
    <w:rsid w:val="00DA09FC"/>
    <w:rsid w:val="00DA1257"/>
    <w:rsid w:val="00DA16AA"/>
    <w:rsid w:val="00DA28A7"/>
    <w:rsid w:val="00DA2BB0"/>
    <w:rsid w:val="00DA2FCA"/>
    <w:rsid w:val="00DA348E"/>
    <w:rsid w:val="00DA373A"/>
    <w:rsid w:val="00DA59D2"/>
    <w:rsid w:val="00DA5A9C"/>
    <w:rsid w:val="00DA5BA8"/>
    <w:rsid w:val="00DA5F60"/>
    <w:rsid w:val="00DA6E9D"/>
    <w:rsid w:val="00DA6FF3"/>
    <w:rsid w:val="00DA7080"/>
    <w:rsid w:val="00DB0066"/>
    <w:rsid w:val="00DB02C2"/>
    <w:rsid w:val="00DB0F33"/>
    <w:rsid w:val="00DB1595"/>
    <w:rsid w:val="00DB297D"/>
    <w:rsid w:val="00DB2B7E"/>
    <w:rsid w:val="00DB2BA7"/>
    <w:rsid w:val="00DB2F6C"/>
    <w:rsid w:val="00DB345D"/>
    <w:rsid w:val="00DB5719"/>
    <w:rsid w:val="00DB624E"/>
    <w:rsid w:val="00DB7C6B"/>
    <w:rsid w:val="00DC02EA"/>
    <w:rsid w:val="00DC1309"/>
    <w:rsid w:val="00DC16F9"/>
    <w:rsid w:val="00DC1CA6"/>
    <w:rsid w:val="00DC20CF"/>
    <w:rsid w:val="00DC3472"/>
    <w:rsid w:val="00DC4063"/>
    <w:rsid w:val="00DC4B44"/>
    <w:rsid w:val="00DC5C38"/>
    <w:rsid w:val="00DC61A3"/>
    <w:rsid w:val="00DC6AEA"/>
    <w:rsid w:val="00DC76E7"/>
    <w:rsid w:val="00DC7E69"/>
    <w:rsid w:val="00DD0467"/>
    <w:rsid w:val="00DD15EF"/>
    <w:rsid w:val="00DD1738"/>
    <w:rsid w:val="00DD190E"/>
    <w:rsid w:val="00DD3316"/>
    <w:rsid w:val="00DD335C"/>
    <w:rsid w:val="00DD3E02"/>
    <w:rsid w:val="00DD45AF"/>
    <w:rsid w:val="00DD5654"/>
    <w:rsid w:val="00DD5E57"/>
    <w:rsid w:val="00DD5FFC"/>
    <w:rsid w:val="00DD60E3"/>
    <w:rsid w:val="00DD6777"/>
    <w:rsid w:val="00DD7F9B"/>
    <w:rsid w:val="00DE1C74"/>
    <w:rsid w:val="00DE3385"/>
    <w:rsid w:val="00DE396E"/>
    <w:rsid w:val="00DE3CA1"/>
    <w:rsid w:val="00DE4007"/>
    <w:rsid w:val="00DE4638"/>
    <w:rsid w:val="00DE4651"/>
    <w:rsid w:val="00DE51B3"/>
    <w:rsid w:val="00DE534A"/>
    <w:rsid w:val="00DE55FD"/>
    <w:rsid w:val="00DE60A8"/>
    <w:rsid w:val="00DE7265"/>
    <w:rsid w:val="00DE7525"/>
    <w:rsid w:val="00DE776A"/>
    <w:rsid w:val="00DE7C1C"/>
    <w:rsid w:val="00DF0111"/>
    <w:rsid w:val="00DF01E6"/>
    <w:rsid w:val="00DF2247"/>
    <w:rsid w:val="00DF2353"/>
    <w:rsid w:val="00DF3AB2"/>
    <w:rsid w:val="00DF4116"/>
    <w:rsid w:val="00DF48EF"/>
    <w:rsid w:val="00DF5129"/>
    <w:rsid w:val="00DF5784"/>
    <w:rsid w:val="00DF58B8"/>
    <w:rsid w:val="00DF5AA3"/>
    <w:rsid w:val="00DF5FF8"/>
    <w:rsid w:val="00DF6EE5"/>
    <w:rsid w:val="00E0077B"/>
    <w:rsid w:val="00E00898"/>
    <w:rsid w:val="00E03634"/>
    <w:rsid w:val="00E038CA"/>
    <w:rsid w:val="00E050B6"/>
    <w:rsid w:val="00E0557E"/>
    <w:rsid w:val="00E05D14"/>
    <w:rsid w:val="00E0628E"/>
    <w:rsid w:val="00E06460"/>
    <w:rsid w:val="00E073CF"/>
    <w:rsid w:val="00E07997"/>
    <w:rsid w:val="00E07A6A"/>
    <w:rsid w:val="00E07EB8"/>
    <w:rsid w:val="00E10699"/>
    <w:rsid w:val="00E107B2"/>
    <w:rsid w:val="00E10EB1"/>
    <w:rsid w:val="00E114CF"/>
    <w:rsid w:val="00E120E4"/>
    <w:rsid w:val="00E13636"/>
    <w:rsid w:val="00E149F4"/>
    <w:rsid w:val="00E17BD5"/>
    <w:rsid w:val="00E17F53"/>
    <w:rsid w:val="00E20354"/>
    <w:rsid w:val="00E207DB"/>
    <w:rsid w:val="00E21F5A"/>
    <w:rsid w:val="00E221D8"/>
    <w:rsid w:val="00E232DC"/>
    <w:rsid w:val="00E23BDA"/>
    <w:rsid w:val="00E24754"/>
    <w:rsid w:val="00E25124"/>
    <w:rsid w:val="00E261F8"/>
    <w:rsid w:val="00E26E25"/>
    <w:rsid w:val="00E27DF3"/>
    <w:rsid w:val="00E3110A"/>
    <w:rsid w:val="00E319DC"/>
    <w:rsid w:val="00E321CC"/>
    <w:rsid w:val="00E324AD"/>
    <w:rsid w:val="00E32FBE"/>
    <w:rsid w:val="00E3342D"/>
    <w:rsid w:val="00E33683"/>
    <w:rsid w:val="00E33734"/>
    <w:rsid w:val="00E34131"/>
    <w:rsid w:val="00E34AA9"/>
    <w:rsid w:val="00E34B88"/>
    <w:rsid w:val="00E36A4F"/>
    <w:rsid w:val="00E376C4"/>
    <w:rsid w:val="00E37D5F"/>
    <w:rsid w:val="00E425F7"/>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88B"/>
    <w:rsid w:val="00E60C32"/>
    <w:rsid w:val="00E61619"/>
    <w:rsid w:val="00E61E25"/>
    <w:rsid w:val="00E6272B"/>
    <w:rsid w:val="00E627F6"/>
    <w:rsid w:val="00E62AAA"/>
    <w:rsid w:val="00E62F1A"/>
    <w:rsid w:val="00E63A73"/>
    <w:rsid w:val="00E63F1D"/>
    <w:rsid w:val="00E646D5"/>
    <w:rsid w:val="00E64BB7"/>
    <w:rsid w:val="00E64EEE"/>
    <w:rsid w:val="00E65897"/>
    <w:rsid w:val="00E6685B"/>
    <w:rsid w:val="00E66F49"/>
    <w:rsid w:val="00E721A9"/>
    <w:rsid w:val="00E73549"/>
    <w:rsid w:val="00E736CB"/>
    <w:rsid w:val="00E73CAA"/>
    <w:rsid w:val="00E7484F"/>
    <w:rsid w:val="00E74861"/>
    <w:rsid w:val="00E74B50"/>
    <w:rsid w:val="00E74EC9"/>
    <w:rsid w:val="00E75733"/>
    <w:rsid w:val="00E75A9D"/>
    <w:rsid w:val="00E76F9A"/>
    <w:rsid w:val="00E77754"/>
    <w:rsid w:val="00E80CF7"/>
    <w:rsid w:val="00E80FB4"/>
    <w:rsid w:val="00E81B8E"/>
    <w:rsid w:val="00E81ED7"/>
    <w:rsid w:val="00E8369B"/>
    <w:rsid w:val="00E8377F"/>
    <w:rsid w:val="00E83850"/>
    <w:rsid w:val="00E85244"/>
    <w:rsid w:val="00E85A96"/>
    <w:rsid w:val="00E86159"/>
    <w:rsid w:val="00E86741"/>
    <w:rsid w:val="00E87AE4"/>
    <w:rsid w:val="00E87E0F"/>
    <w:rsid w:val="00E9066B"/>
    <w:rsid w:val="00E90C1F"/>
    <w:rsid w:val="00E9124A"/>
    <w:rsid w:val="00E9222C"/>
    <w:rsid w:val="00E9296D"/>
    <w:rsid w:val="00E92AA5"/>
    <w:rsid w:val="00E94509"/>
    <w:rsid w:val="00E95057"/>
    <w:rsid w:val="00E9558B"/>
    <w:rsid w:val="00E95D1B"/>
    <w:rsid w:val="00E969A4"/>
    <w:rsid w:val="00E9735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16BE"/>
    <w:rsid w:val="00EB1FC2"/>
    <w:rsid w:val="00EB2216"/>
    <w:rsid w:val="00EB27D1"/>
    <w:rsid w:val="00EB33F4"/>
    <w:rsid w:val="00EB3B9C"/>
    <w:rsid w:val="00EB3EB0"/>
    <w:rsid w:val="00EB4454"/>
    <w:rsid w:val="00EB4C04"/>
    <w:rsid w:val="00EB6502"/>
    <w:rsid w:val="00EB7D9C"/>
    <w:rsid w:val="00EC08A9"/>
    <w:rsid w:val="00EC1406"/>
    <w:rsid w:val="00EC1526"/>
    <w:rsid w:val="00EC23F3"/>
    <w:rsid w:val="00EC25BE"/>
    <w:rsid w:val="00EC2677"/>
    <w:rsid w:val="00EC2AB5"/>
    <w:rsid w:val="00EC3587"/>
    <w:rsid w:val="00EC36F2"/>
    <w:rsid w:val="00EC4B79"/>
    <w:rsid w:val="00EC4F33"/>
    <w:rsid w:val="00EC5B3E"/>
    <w:rsid w:val="00EC72AF"/>
    <w:rsid w:val="00EC7E82"/>
    <w:rsid w:val="00ED0B81"/>
    <w:rsid w:val="00ED1970"/>
    <w:rsid w:val="00ED19B3"/>
    <w:rsid w:val="00ED1A64"/>
    <w:rsid w:val="00ED28DD"/>
    <w:rsid w:val="00ED3561"/>
    <w:rsid w:val="00ED421C"/>
    <w:rsid w:val="00ED43A6"/>
    <w:rsid w:val="00ED502A"/>
    <w:rsid w:val="00ED588A"/>
    <w:rsid w:val="00ED69B3"/>
    <w:rsid w:val="00ED6FB9"/>
    <w:rsid w:val="00ED7371"/>
    <w:rsid w:val="00ED7E2F"/>
    <w:rsid w:val="00ED7EA8"/>
    <w:rsid w:val="00EE071A"/>
    <w:rsid w:val="00EE1313"/>
    <w:rsid w:val="00EE2126"/>
    <w:rsid w:val="00EE2EFA"/>
    <w:rsid w:val="00EE3363"/>
    <w:rsid w:val="00EE3F3C"/>
    <w:rsid w:val="00EE4C7E"/>
    <w:rsid w:val="00EE556D"/>
    <w:rsid w:val="00EE60A2"/>
    <w:rsid w:val="00EE6184"/>
    <w:rsid w:val="00EE679C"/>
    <w:rsid w:val="00EE7A2C"/>
    <w:rsid w:val="00EF06D3"/>
    <w:rsid w:val="00EF09D3"/>
    <w:rsid w:val="00EF108A"/>
    <w:rsid w:val="00EF1240"/>
    <w:rsid w:val="00EF1D91"/>
    <w:rsid w:val="00EF1F75"/>
    <w:rsid w:val="00EF20FE"/>
    <w:rsid w:val="00EF2240"/>
    <w:rsid w:val="00EF3069"/>
    <w:rsid w:val="00EF31A5"/>
    <w:rsid w:val="00EF3742"/>
    <w:rsid w:val="00EF3EB5"/>
    <w:rsid w:val="00EF57B9"/>
    <w:rsid w:val="00EF57DF"/>
    <w:rsid w:val="00EF632B"/>
    <w:rsid w:val="00EF6556"/>
    <w:rsid w:val="00EF689A"/>
    <w:rsid w:val="00EF70A1"/>
    <w:rsid w:val="00F02BAD"/>
    <w:rsid w:val="00F0319D"/>
    <w:rsid w:val="00F07890"/>
    <w:rsid w:val="00F07B03"/>
    <w:rsid w:val="00F11635"/>
    <w:rsid w:val="00F12D74"/>
    <w:rsid w:val="00F12D86"/>
    <w:rsid w:val="00F131AA"/>
    <w:rsid w:val="00F131FD"/>
    <w:rsid w:val="00F1350B"/>
    <w:rsid w:val="00F13B05"/>
    <w:rsid w:val="00F13B5A"/>
    <w:rsid w:val="00F13EED"/>
    <w:rsid w:val="00F14B5C"/>
    <w:rsid w:val="00F15637"/>
    <w:rsid w:val="00F15AF2"/>
    <w:rsid w:val="00F21290"/>
    <w:rsid w:val="00F2299F"/>
    <w:rsid w:val="00F2312A"/>
    <w:rsid w:val="00F231F0"/>
    <w:rsid w:val="00F24787"/>
    <w:rsid w:val="00F259A5"/>
    <w:rsid w:val="00F263E5"/>
    <w:rsid w:val="00F266C2"/>
    <w:rsid w:val="00F27C59"/>
    <w:rsid w:val="00F301E0"/>
    <w:rsid w:val="00F305EE"/>
    <w:rsid w:val="00F307CC"/>
    <w:rsid w:val="00F30BBA"/>
    <w:rsid w:val="00F31630"/>
    <w:rsid w:val="00F31A8F"/>
    <w:rsid w:val="00F320C0"/>
    <w:rsid w:val="00F32D63"/>
    <w:rsid w:val="00F34012"/>
    <w:rsid w:val="00F343A3"/>
    <w:rsid w:val="00F34C99"/>
    <w:rsid w:val="00F3531A"/>
    <w:rsid w:val="00F355C1"/>
    <w:rsid w:val="00F41DB0"/>
    <w:rsid w:val="00F42ABD"/>
    <w:rsid w:val="00F439BB"/>
    <w:rsid w:val="00F43CEB"/>
    <w:rsid w:val="00F449D7"/>
    <w:rsid w:val="00F460C4"/>
    <w:rsid w:val="00F461AE"/>
    <w:rsid w:val="00F467F9"/>
    <w:rsid w:val="00F47426"/>
    <w:rsid w:val="00F5184D"/>
    <w:rsid w:val="00F51B88"/>
    <w:rsid w:val="00F51CB2"/>
    <w:rsid w:val="00F534D3"/>
    <w:rsid w:val="00F5421D"/>
    <w:rsid w:val="00F55022"/>
    <w:rsid w:val="00F55184"/>
    <w:rsid w:val="00F5704A"/>
    <w:rsid w:val="00F60396"/>
    <w:rsid w:val="00F60DF3"/>
    <w:rsid w:val="00F62057"/>
    <w:rsid w:val="00F6205D"/>
    <w:rsid w:val="00F62597"/>
    <w:rsid w:val="00F6264B"/>
    <w:rsid w:val="00F6290C"/>
    <w:rsid w:val="00F646C8"/>
    <w:rsid w:val="00F64903"/>
    <w:rsid w:val="00F66C33"/>
    <w:rsid w:val="00F67988"/>
    <w:rsid w:val="00F67C01"/>
    <w:rsid w:val="00F70909"/>
    <w:rsid w:val="00F70D74"/>
    <w:rsid w:val="00F7114B"/>
    <w:rsid w:val="00F721EF"/>
    <w:rsid w:val="00F72AC2"/>
    <w:rsid w:val="00F72F17"/>
    <w:rsid w:val="00F73429"/>
    <w:rsid w:val="00F736C8"/>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1A48"/>
    <w:rsid w:val="00F82021"/>
    <w:rsid w:val="00F82080"/>
    <w:rsid w:val="00F8263C"/>
    <w:rsid w:val="00F82A7B"/>
    <w:rsid w:val="00F8476C"/>
    <w:rsid w:val="00F850A1"/>
    <w:rsid w:val="00F85CBD"/>
    <w:rsid w:val="00F87810"/>
    <w:rsid w:val="00F905B8"/>
    <w:rsid w:val="00F9092C"/>
    <w:rsid w:val="00F91164"/>
    <w:rsid w:val="00F91D47"/>
    <w:rsid w:val="00F92B0F"/>
    <w:rsid w:val="00F92BF6"/>
    <w:rsid w:val="00F9354E"/>
    <w:rsid w:val="00F941FC"/>
    <w:rsid w:val="00F94271"/>
    <w:rsid w:val="00F95575"/>
    <w:rsid w:val="00F96D24"/>
    <w:rsid w:val="00F97093"/>
    <w:rsid w:val="00F97FF3"/>
    <w:rsid w:val="00FA0091"/>
    <w:rsid w:val="00FA1AA9"/>
    <w:rsid w:val="00FA23B1"/>
    <w:rsid w:val="00FA2C8B"/>
    <w:rsid w:val="00FA3E0C"/>
    <w:rsid w:val="00FA4FBA"/>
    <w:rsid w:val="00FA5020"/>
    <w:rsid w:val="00FA50EF"/>
    <w:rsid w:val="00FA5580"/>
    <w:rsid w:val="00FA655A"/>
    <w:rsid w:val="00FA69C3"/>
    <w:rsid w:val="00FA6AAC"/>
    <w:rsid w:val="00FA6CBC"/>
    <w:rsid w:val="00FA6D48"/>
    <w:rsid w:val="00FA7027"/>
    <w:rsid w:val="00FA7775"/>
    <w:rsid w:val="00FA7EC0"/>
    <w:rsid w:val="00FB1439"/>
    <w:rsid w:val="00FB1729"/>
    <w:rsid w:val="00FB30A2"/>
    <w:rsid w:val="00FB7BF5"/>
    <w:rsid w:val="00FC072E"/>
    <w:rsid w:val="00FC4323"/>
    <w:rsid w:val="00FC51AE"/>
    <w:rsid w:val="00FC550A"/>
    <w:rsid w:val="00FC551E"/>
    <w:rsid w:val="00FC5790"/>
    <w:rsid w:val="00FC6275"/>
    <w:rsid w:val="00FC79CD"/>
    <w:rsid w:val="00FD039F"/>
    <w:rsid w:val="00FD053B"/>
    <w:rsid w:val="00FD0859"/>
    <w:rsid w:val="00FD0910"/>
    <w:rsid w:val="00FD0A92"/>
    <w:rsid w:val="00FD0AF0"/>
    <w:rsid w:val="00FD1234"/>
    <w:rsid w:val="00FD18F3"/>
    <w:rsid w:val="00FD194F"/>
    <w:rsid w:val="00FD1995"/>
    <w:rsid w:val="00FD2184"/>
    <w:rsid w:val="00FD2333"/>
    <w:rsid w:val="00FD25E1"/>
    <w:rsid w:val="00FD5688"/>
    <w:rsid w:val="00FD5725"/>
    <w:rsid w:val="00FD5E1C"/>
    <w:rsid w:val="00FD5F36"/>
    <w:rsid w:val="00FD6624"/>
    <w:rsid w:val="00FD7F6B"/>
    <w:rsid w:val="00FE0948"/>
    <w:rsid w:val="00FE1880"/>
    <w:rsid w:val="00FE2139"/>
    <w:rsid w:val="00FE3256"/>
    <w:rsid w:val="00FE3F8E"/>
    <w:rsid w:val="00FE445D"/>
    <w:rsid w:val="00FE47ED"/>
    <w:rsid w:val="00FE5101"/>
    <w:rsid w:val="00FE61DC"/>
    <w:rsid w:val="00FE67D0"/>
    <w:rsid w:val="00FE689B"/>
    <w:rsid w:val="00FE7081"/>
    <w:rsid w:val="00FE79CE"/>
    <w:rsid w:val="00FF06FA"/>
    <w:rsid w:val="00FF081E"/>
    <w:rsid w:val="00FF145C"/>
    <w:rsid w:val="00FF26EE"/>
    <w:rsid w:val="00FF28EC"/>
    <w:rsid w:val="00FF2C41"/>
    <w:rsid w:val="00FF457B"/>
    <w:rsid w:val="00FF47A3"/>
    <w:rsid w:val="00FF4B3F"/>
    <w:rsid w:val="00FF4B43"/>
    <w:rsid w:val="00FF574F"/>
    <w:rsid w:val="00FF6A86"/>
    <w:rsid w:val="00FF7DD7"/>
    <w:rsid w:val="05821997"/>
    <w:rsid w:val="090C7C1B"/>
    <w:rsid w:val="0C4C5587"/>
    <w:rsid w:val="0E6E6F80"/>
    <w:rsid w:val="23AA6A32"/>
    <w:rsid w:val="2C240F34"/>
    <w:rsid w:val="2C64115C"/>
    <w:rsid w:val="2D0B54A3"/>
    <w:rsid w:val="33B67A9F"/>
    <w:rsid w:val="3FB269C3"/>
    <w:rsid w:val="47420521"/>
    <w:rsid w:val="502932F4"/>
    <w:rsid w:val="53B57275"/>
    <w:rsid w:val="69D4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56"/>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71"/>
    <w:qFormat/>
    <w:uiPriority w:val="0"/>
    <w:pPr>
      <w:adjustRightInd w:val="0"/>
      <w:jc w:val="center"/>
      <w:textAlignment w:val="baseline"/>
      <w:outlineLvl w:val="1"/>
    </w:pPr>
    <w:rPr>
      <w:kern w:val="0"/>
      <w:sz w:val="24"/>
      <w:szCs w:val="20"/>
    </w:rPr>
  </w:style>
  <w:style w:type="paragraph" w:styleId="3">
    <w:name w:val="heading 3"/>
    <w:basedOn w:val="4"/>
    <w:next w:val="1"/>
    <w:link w:val="55"/>
    <w:qFormat/>
    <w:uiPriority w:val="0"/>
    <w:pPr>
      <w:spacing w:before="260" w:after="260" w:line="240" w:lineRule="auto"/>
      <w:outlineLvl w:val="2"/>
    </w:pPr>
    <w:rPr>
      <w:rFonts w:ascii="宋体" w:hAnsi="宋体" w:eastAsia="宋体"/>
      <w:szCs w:val="32"/>
    </w:rPr>
  </w:style>
  <w:style w:type="paragraph" w:styleId="4">
    <w:name w:val="heading 4"/>
    <w:basedOn w:val="1"/>
    <w:next w:val="1"/>
    <w:link w:val="5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80"/>
    <w:qFormat/>
    <w:uiPriority w:val="0"/>
    <w:pPr>
      <w:keepNext/>
      <w:keepLines/>
      <w:spacing w:before="280" w:after="290" w:line="376" w:lineRule="auto"/>
      <w:outlineLvl w:val="4"/>
    </w:pPr>
    <w:rPr>
      <w:b/>
      <w:sz w:val="28"/>
      <w:szCs w:val="20"/>
    </w:rPr>
  </w:style>
  <w:style w:type="paragraph" w:styleId="8">
    <w:name w:val="heading 6"/>
    <w:basedOn w:val="1"/>
    <w:next w:val="7"/>
    <w:link w:val="8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84"/>
    <w:qFormat/>
    <w:uiPriority w:val="0"/>
    <w:pPr>
      <w:keepNext/>
      <w:keepLines/>
      <w:spacing w:before="240" w:after="64" w:line="320" w:lineRule="auto"/>
      <w:outlineLvl w:val="6"/>
    </w:pPr>
    <w:rPr>
      <w:b/>
      <w:sz w:val="24"/>
      <w:szCs w:val="20"/>
    </w:rPr>
  </w:style>
  <w:style w:type="paragraph" w:styleId="10">
    <w:name w:val="heading 8"/>
    <w:basedOn w:val="1"/>
    <w:next w:val="7"/>
    <w:link w:val="8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86"/>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57"/>
    <w:qFormat/>
    <w:uiPriority w:val="0"/>
    <w:pPr>
      <w:ind w:firstLine="420"/>
    </w:pPr>
    <w:rPr>
      <w:szCs w:val="20"/>
    </w:rPr>
  </w:style>
  <w:style w:type="paragraph" w:styleId="12">
    <w:name w:val="toc 7"/>
    <w:basedOn w:val="1"/>
    <w:next w:val="1"/>
    <w:semiHidden/>
    <w:qFormat/>
    <w:uiPriority w:val="0"/>
    <w:pPr>
      <w:ind w:left="1260"/>
      <w:jc w:val="left"/>
    </w:pPr>
    <w:rPr>
      <w:szCs w:val="21"/>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184"/>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98"/>
    <w:qFormat/>
    <w:uiPriority w:val="0"/>
    <w:pPr>
      <w:spacing w:after="120"/>
    </w:pPr>
    <w:rPr>
      <w:sz w:val="16"/>
      <w:szCs w:val="16"/>
    </w:rPr>
  </w:style>
  <w:style w:type="paragraph" w:styleId="18">
    <w:name w:val="Body Text"/>
    <w:basedOn w:val="1"/>
    <w:link w:val="92"/>
    <w:qFormat/>
    <w:uiPriority w:val="0"/>
    <w:pPr>
      <w:spacing w:line="360" w:lineRule="auto"/>
    </w:pPr>
    <w:rPr>
      <w:b/>
      <w:bCs/>
      <w:sz w:val="24"/>
    </w:rPr>
  </w:style>
  <w:style w:type="paragraph" w:styleId="19">
    <w:name w:val="Body Text Indent"/>
    <w:basedOn w:val="1"/>
    <w:link w:val="79"/>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90"/>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8"/>
    <w:qFormat/>
    <w:uiPriority w:val="0"/>
    <w:rPr>
      <w:rFonts w:ascii="宋体" w:hAnsi="Courier New"/>
      <w:sz w:val="32"/>
      <w:szCs w:val="20"/>
    </w:rPr>
  </w:style>
  <w:style w:type="paragraph" w:styleId="25">
    <w:name w:val="Body Text Indent 2"/>
    <w:basedOn w:val="1"/>
    <w:link w:val="93"/>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9"/>
    <w:semiHidden/>
    <w:qFormat/>
    <w:uiPriority w:val="0"/>
    <w:rPr>
      <w:sz w:val="18"/>
      <w:szCs w:val="18"/>
    </w:rPr>
  </w:style>
  <w:style w:type="paragraph" w:styleId="27">
    <w:name w:val="footer"/>
    <w:basedOn w:val="1"/>
    <w:link w:val="97"/>
    <w:qFormat/>
    <w:uiPriority w:val="0"/>
    <w:pPr>
      <w:tabs>
        <w:tab w:val="center" w:pos="4153"/>
        <w:tab w:val="right" w:pos="8306"/>
      </w:tabs>
      <w:snapToGrid w:val="0"/>
      <w:jc w:val="left"/>
    </w:pPr>
    <w:rPr>
      <w:sz w:val="18"/>
      <w:szCs w:val="18"/>
    </w:rPr>
  </w:style>
  <w:style w:type="paragraph" w:styleId="28">
    <w:name w:val="header"/>
    <w:basedOn w:val="1"/>
    <w:link w:val="94"/>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Subtitle"/>
    <w:next w:val="1"/>
    <w:link w:val="309"/>
    <w:qFormat/>
    <w:uiPriority w:val="0"/>
    <w:pPr>
      <w:wordWrap w:val="0"/>
      <w:spacing w:after="60"/>
      <w:jc w:val="center"/>
    </w:pPr>
    <w:rPr>
      <w:rFonts w:ascii="Calibri" w:hAnsi="Calibri" w:eastAsia="宋体" w:cs="Times New Roman"/>
      <w:sz w:val="24"/>
      <w:lang w:val="en-US" w:eastAsia="zh-CN" w:bidi="ar-SA"/>
    </w:rPr>
  </w:style>
  <w:style w:type="paragraph" w:styleId="32">
    <w:name w:val="toc 6"/>
    <w:basedOn w:val="1"/>
    <w:next w:val="1"/>
    <w:semiHidden/>
    <w:qFormat/>
    <w:uiPriority w:val="0"/>
    <w:pPr>
      <w:ind w:left="1050"/>
      <w:jc w:val="left"/>
    </w:pPr>
    <w:rPr>
      <w:szCs w:val="21"/>
    </w:rPr>
  </w:style>
  <w:style w:type="paragraph" w:styleId="33">
    <w:name w:val="Body Text Indent 3"/>
    <w:basedOn w:val="1"/>
    <w:link w:val="95"/>
    <w:qFormat/>
    <w:uiPriority w:val="0"/>
    <w:pPr>
      <w:spacing w:line="360" w:lineRule="auto"/>
      <w:ind w:firstLine="482" w:firstLineChars="200"/>
    </w:pPr>
    <w:rPr>
      <w:rFonts w:ascii="宋体"/>
      <w:b/>
      <w:bCs/>
      <w:sz w:val="24"/>
    </w:rPr>
  </w:style>
  <w:style w:type="paragraph" w:styleId="34">
    <w:name w:val="toc 2"/>
    <w:basedOn w:val="1"/>
    <w:next w:val="1"/>
    <w:semiHidden/>
    <w:qFormat/>
    <w:uiPriority w:val="0"/>
    <w:pPr>
      <w:tabs>
        <w:tab w:val="right" w:leader="dot" w:pos="8296"/>
      </w:tabs>
      <w:ind w:left="210"/>
      <w:jc w:val="left"/>
    </w:pPr>
    <w:rPr>
      <w:smallCaps/>
    </w:rPr>
  </w:style>
  <w:style w:type="paragraph" w:styleId="35">
    <w:name w:val="toc 9"/>
    <w:basedOn w:val="1"/>
    <w:next w:val="1"/>
    <w:semiHidden/>
    <w:qFormat/>
    <w:uiPriority w:val="0"/>
    <w:pPr>
      <w:ind w:left="1680"/>
      <w:jc w:val="left"/>
    </w:pPr>
    <w:rPr>
      <w:szCs w:val="21"/>
    </w:rPr>
  </w:style>
  <w:style w:type="paragraph" w:styleId="36">
    <w:name w:val="Body Text 2"/>
    <w:basedOn w:val="1"/>
    <w:link w:val="96"/>
    <w:qFormat/>
    <w:uiPriority w:val="0"/>
    <w:pPr>
      <w:spacing w:line="360" w:lineRule="auto"/>
    </w:pPr>
    <w:rPr>
      <w:sz w:val="24"/>
    </w:rPr>
  </w:style>
  <w:style w:type="paragraph" w:styleId="37">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99"/>
    <w:pPr>
      <w:spacing w:beforeAutospacing="1" w:afterAutospacing="1"/>
      <w:jc w:val="left"/>
    </w:pPr>
    <w:rPr>
      <w:kern w:val="0"/>
      <w:sz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0">
    <w:name w:val="Title"/>
    <w:basedOn w:val="1"/>
    <w:link w:val="87"/>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185"/>
    <w:qFormat/>
    <w:uiPriority w:val="0"/>
    <w:pPr>
      <w:autoSpaceDE/>
      <w:autoSpaceDN/>
      <w:adjustRightInd/>
      <w:textAlignment w:val="auto"/>
    </w:pPr>
    <w:rPr>
      <w:rFonts w:ascii="Times New Roman"/>
      <w:b/>
      <w:bCs/>
      <w:kern w:val="2"/>
      <w:sz w:val="21"/>
      <w:szCs w:val="24"/>
    </w:rPr>
  </w:style>
  <w:style w:type="paragraph" w:styleId="42">
    <w:name w:val="Body Text First Indent"/>
    <w:basedOn w:val="18"/>
    <w:link w:val="130"/>
    <w:qFormat/>
    <w:uiPriority w:val="0"/>
    <w:pPr>
      <w:spacing w:after="120" w:line="240" w:lineRule="auto"/>
      <w:ind w:firstLine="420" w:firstLineChars="1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5">
    <w:name w:val="Table Elegant"/>
    <w:basedOn w:val="43"/>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i/>
      <w:sz w:val="20"/>
    </w:rPr>
  </w:style>
  <w:style w:type="character" w:styleId="51">
    <w:name w:val="Hyperlink"/>
    <w:qFormat/>
    <w:uiPriority w:val="0"/>
    <w:rPr>
      <w:color w:val="0000FF"/>
      <w:u w:val="single"/>
    </w:rPr>
  </w:style>
  <w:style w:type="character" w:styleId="52">
    <w:name w:val="annotation reference"/>
    <w:basedOn w:val="46"/>
    <w:qFormat/>
    <w:uiPriority w:val="0"/>
    <w:rPr>
      <w:sz w:val="21"/>
      <w:szCs w:val="21"/>
    </w:rPr>
  </w:style>
  <w:style w:type="character" w:customStyle="1" w:styleId="53">
    <w:name w:val="标题 4 Char"/>
    <w:link w:val="4"/>
    <w:qFormat/>
    <w:uiPriority w:val="0"/>
    <w:rPr>
      <w:rFonts w:ascii="Arial" w:hAnsi="Arial" w:eastAsia="黑体"/>
      <w:b/>
      <w:bCs/>
      <w:kern w:val="2"/>
      <w:sz w:val="28"/>
      <w:szCs w:val="28"/>
      <w:lang w:val="en-US" w:eastAsia="zh-CN" w:bidi="ar-SA"/>
    </w:rPr>
  </w:style>
  <w:style w:type="paragraph" w:customStyle="1" w:styleId="5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5">
    <w:name w:val="标题 3 Char1"/>
    <w:link w:val="3"/>
    <w:qFormat/>
    <w:uiPriority w:val="0"/>
    <w:rPr>
      <w:rFonts w:ascii="宋体" w:hAnsi="宋体" w:eastAsia="宋体"/>
      <w:b/>
      <w:bCs/>
      <w:kern w:val="2"/>
      <w:sz w:val="28"/>
      <w:szCs w:val="32"/>
      <w:lang w:val="en-US" w:eastAsia="zh-CN" w:bidi="ar-SA"/>
    </w:rPr>
  </w:style>
  <w:style w:type="character" w:customStyle="1" w:styleId="56">
    <w:name w:val="标题 1 Char"/>
    <w:link w:val="2"/>
    <w:qFormat/>
    <w:uiPriority w:val="0"/>
    <w:rPr>
      <w:rFonts w:ascii="宋体" w:hAnsi="宋体" w:eastAsia="黑体"/>
      <w:b/>
      <w:bCs/>
      <w:kern w:val="44"/>
      <w:sz w:val="28"/>
      <w:szCs w:val="44"/>
      <w:lang w:val="en-US" w:eastAsia="zh-CN" w:bidi="ar-SA"/>
    </w:rPr>
  </w:style>
  <w:style w:type="character" w:customStyle="1" w:styleId="57">
    <w:name w:val="正文缩进 Char"/>
    <w:link w:val="7"/>
    <w:qFormat/>
    <w:uiPriority w:val="0"/>
    <w:rPr>
      <w:rFonts w:eastAsia="宋体"/>
      <w:kern w:val="2"/>
      <w:sz w:val="21"/>
      <w:lang w:val="en-US" w:eastAsia="zh-CN" w:bidi="ar-SA"/>
    </w:rPr>
  </w:style>
  <w:style w:type="character" w:customStyle="1" w:styleId="58">
    <w:name w:val="标题 3 Char"/>
    <w:qFormat/>
    <w:uiPriority w:val="0"/>
    <w:rPr>
      <w:rFonts w:ascii="黑体" w:eastAsia="黑体"/>
      <w:bCs/>
      <w:sz w:val="30"/>
    </w:rPr>
  </w:style>
  <w:style w:type="paragraph" w:customStyle="1" w:styleId="59">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60">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1">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6">
    <w:name w:val="自定义正文"/>
    <w:basedOn w:val="1"/>
    <w:qFormat/>
    <w:uiPriority w:val="0"/>
    <w:pPr>
      <w:spacing w:afterLines="50"/>
      <w:ind w:left="600" w:leftChars="600"/>
    </w:pPr>
  </w:style>
  <w:style w:type="paragraph" w:customStyle="1" w:styleId="67">
    <w:name w:val="Char Char Char Char Char"/>
    <w:basedOn w:val="1"/>
    <w:qFormat/>
    <w:uiPriority w:val="0"/>
    <w:rPr>
      <w:rFonts w:ascii="Tahoma" w:hAnsi="Tahoma"/>
      <w:sz w:val="24"/>
      <w:szCs w:val="20"/>
    </w:rPr>
  </w:style>
  <w:style w:type="paragraph" w:customStyle="1" w:styleId="68">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9">
    <w:name w:val="Char Char"/>
    <w:basedOn w:val="1"/>
    <w:qFormat/>
    <w:uiPriority w:val="0"/>
    <w:rPr>
      <w:rFonts w:ascii="Tahoma" w:hAnsi="Tahoma"/>
      <w:sz w:val="24"/>
      <w:szCs w:val="20"/>
    </w:rPr>
  </w:style>
  <w:style w:type="paragraph" w:customStyle="1" w:styleId="70">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71">
    <w:name w:val="标题 2 Char"/>
    <w:link w:val="5"/>
    <w:qFormat/>
    <w:uiPriority w:val="0"/>
    <w:rPr>
      <w:rFonts w:ascii="宋体" w:hAnsi="宋体" w:eastAsia="宋体"/>
      <w:b/>
      <w:bCs/>
      <w:sz w:val="24"/>
      <w:lang w:val="en-US" w:eastAsia="zh-CN" w:bidi="ar-SA"/>
    </w:rPr>
  </w:style>
  <w:style w:type="paragraph" w:customStyle="1" w:styleId="7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3">
    <w:name w:val="List Paragraph"/>
    <w:basedOn w:val="1"/>
    <w:qFormat/>
    <w:uiPriority w:val="0"/>
    <w:pPr>
      <w:ind w:firstLine="420" w:firstLineChars="200"/>
    </w:pPr>
    <w:rPr>
      <w:rFonts w:ascii="Calibri" w:hAnsi="Calibri"/>
      <w:szCs w:val="22"/>
    </w:rPr>
  </w:style>
  <w:style w:type="paragraph" w:customStyle="1" w:styleId="74">
    <w:name w:val="USE 1"/>
    <w:basedOn w:val="1"/>
    <w:qFormat/>
    <w:uiPriority w:val="0"/>
    <w:pPr>
      <w:spacing w:line="200" w:lineRule="atLeast"/>
      <w:jc w:val="left"/>
    </w:pPr>
    <w:rPr>
      <w:rFonts w:ascii="宋体" w:hAnsi="宋体"/>
      <w:b/>
      <w:sz w:val="24"/>
      <w:szCs w:val="28"/>
    </w:rPr>
  </w:style>
  <w:style w:type="paragraph" w:customStyle="1" w:styleId="75">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6">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7">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78">
    <w:name w:val="H4 Char2"/>
    <w:qFormat/>
    <w:uiPriority w:val="0"/>
    <w:rPr>
      <w:rFonts w:ascii="Arial" w:hAnsi="Arial" w:eastAsia="黑体"/>
      <w:b/>
      <w:bCs/>
      <w:kern w:val="2"/>
      <w:sz w:val="28"/>
      <w:szCs w:val="28"/>
      <w:lang w:val="en-US" w:eastAsia="zh-CN" w:bidi="ar-SA"/>
    </w:rPr>
  </w:style>
  <w:style w:type="character" w:customStyle="1" w:styleId="79">
    <w:name w:val="正文文本缩进 Char"/>
    <w:link w:val="19"/>
    <w:qFormat/>
    <w:uiPriority w:val="0"/>
    <w:rPr>
      <w:rFonts w:eastAsia="宋体"/>
      <w:kern w:val="2"/>
      <w:sz w:val="21"/>
      <w:szCs w:val="24"/>
      <w:lang w:val="en-US" w:eastAsia="zh-CN" w:bidi="ar-SA"/>
    </w:rPr>
  </w:style>
  <w:style w:type="character" w:customStyle="1" w:styleId="80">
    <w:name w:val="标题 5 Char"/>
    <w:link w:val="6"/>
    <w:qFormat/>
    <w:uiPriority w:val="0"/>
    <w:rPr>
      <w:rFonts w:eastAsia="宋体"/>
      <w:b/>
      <w:kern w:val="2"/>
      <w:sz w:val="28"/>
      <w:lang w:val="en-US" w:eastAsia="zh-CN" w:bidi="ar-SA"/>
    </w:rPr>
  </w:style>
  <w:style w:type="character" w:customStyle="1" w:styleId="81">
    <w:name w:val="第*章 Char"/>
    <w:qFormat/>
    <w:uiPriority w:val="0"/>
    <w:rPr>
      <w:rFonts w:ascii="Arial" w:hAnsi="Arial" w:eastAsia="黑体"/>
      <w:b/>
      <w:bCs/>
      <w:kern w:val="2"/>
      <w:sz w:val="32"/>
      <w:szCs w:val="32"/>
    </w:rPr>
  </w:style>
  <w:style w:type="character" w:customStyle="1" w:styleId="82">
    <w:name w:val="章标题1 Char"/>
    <w:qFormat/>
    <w:uiPriority w:val="0"/>
    <w:rPr>
      <w:rFonts w:eastAsia="宋体"/>
      <w:b/>
      <w:bCs/>
      <w:kern w:val="2"/>
      <w:sz w:val="32"/>
      <w:szCs w:val="32"/>
      <w:lang w:val="en-US" w:eastAsia="zh-CN" w:bidi="ar-SA"/>
    </w:rPr>
  </w:style>
  <w:style w:type="character" w:customStyle="1" w:styleId="83">
    <w:name w:val="标题 6 Char"/>
    <w:link w:val="8"/>
    <w:qFormat/>
    <w:uiPriority w:val="0"/>
    <w:rPr>
      <w:rFonts w:ascii="Arial" w:hAnsi="Arial" w:eastAsia="黑体"/>
      <w:b/>
      <w:kern w:val="2"/>
      <w:sz w:val="24"/>
      <w:lang w:val="en-US" w:eastAsia="zh-CN" w:bidi="ar-SA"/>
    </w:rPr>
  </w:style>
  <w:style w:type="character" w:customStyle="1" w:styleId="84">
    <w:name w:val="标题 7 Char"/>
    <w:link w:val="9"/>
    <w:qFormat/>
    <w:uiPriority w:val="0"/>
    <w:rPr>
      <w:rFonts w:eastAsia="宋体"/>
      <w:b/>
      <w:kern w:val="2"/>
      <w:sz w:val="24"/>
      <w:lang w:val="en-US" w:eastAsia="zh-CN" w:bidi="ar-SA"/>
    </w:rPr>
  </w:style>
  <w:style w:type="character" w:customStyle="1" w:styleId="85">
    <w:name w:val="标题 8 Char"/>
    <w:link w:val="10"/>
    <w:qFormat/>
    <w:uiPriority w:val="0"/>
    <w:rPr>
      <w:rFonts w:ascii="Arial" w:hAnsi="Arial" w:eastAsia="黑体"/>
      <w:kern w:val="2"/>
      <w:sz w:val="24"/>
      <w:lang w:val="en-US" w:eastAsia="zh-CN" w:bidi="ar-SA"/>
    </w:rPr>
  </w:style>
  <w:style w:type="character" w:customStyle="1" w:styleId="86">
    <w:name w:val="标题 9 Char"/>
    <w:link w:val="11"/>
    <w:qFormat/>
    <w:uiPriority w:val="0"/>
    <w:rPr>
      <w:rFonts w:ascii="Arial" w:hAnsi="Arial" w:eastAsia="黑体"/>
      <w:kern w:val="2"/>
      <w:sz w:val="21"/>
      <w:lang w:val="en-US" w:eastAsia="zh-CN" w:bidi="ar-SA"/>
    </w:rPr>
  </w:style>
  <w:style w:type="character" w:customStyle="1" w:styleId="87">
    <w:name w:val="标题 Char"/>
    <w:link w:val="40"/>
    <w:qFormat/>
    <w:uiPriority w:val="0"/>
    <w:rPr>
      <w:rFonts w:ascii="Arial" w:hAnsi="Arial" w:eastAsia="隶书" w:cs="Arial"/>
      <w:b/>
      <w:bCs/>
      <w:kern w:val="2"/>
      <w:sz w:val="32"/>
      <w:szCs w:val="32"/>
      <w:lang w:val="en-US" w:eastAsia="zh-CN" w:bidi="ar-SA"/>
    </w:rPr>
  </w:style>
  <w:style w:type="character" w:customStyle="1" w:styleId="88">
    <w:name w:val="日期 Char"/>
    <w:link w:val="24"/>
    <w:qFormat/>
    <w:uiPriority w:val="0"/>
    <w:rPr>
      <w:rFonts w:ascii="宋体" w:hAnsi="Courier New" w:eastAsia="宋体"/>
      <w:kern w:val="2"/>
      <w:sz w:val="32"/>
      <w:lang w:val="en-US" w:eastAsia="zh-CN" w:bidi="ar-SA"/>
    </w:rPr>
  </w:style>
  <w:style w:type="character" w:customStyle="1" w:styleId="89">
    <w:name w:val="HTML 预设格式 Char"/>
    <w:link w:val="37"/>
    <w:qFormat/>
    <w:uiPriority w:val="0"/>
    <w:rPr>
      <w:rFonts w:ascii="Arial Unicode MS" w:hAnsi="Arial Unicode MS" w:eastAsia="Arial Unicode MS"/>
      <w:color w:val="000000"/>
      <w:lang w:val="en-US" w:eastAsia="zh-CN" w:bidi="ar-SA"/>
    </w:rPr>
  </w:style>
  <w:style w:type="character" w:customStyle="1" w:styleId="90">
    <w:name w:val="纯文本 Char"/>
    <w:link w:val="22"/>
    <w:qFormat/>
    <w:uiPriority w:val="0"/>
    <w:rPr>
      <w:rFonts w:ascii="宋体" w:hAnsi="Courier New" w:eastAsia="宋体"/>
      <w:kern w:val="2"/>
      <w:sz w:val="21"/>
      <w:lang w:val="en-US" w:eastAsia="zh-CN" w:bidi="ar-SA"/>
    </w:rPr>
  </w:style>
  <w:style w:type="character" w:customStyle="1" w:styleId="91">
    <w:name w:val="正文文字首行缩进 Char"/>
    <w:qFormat/>
    <w:uiPriority w:val="0"/>
    <w:rPr>
      <w:kern w:val="2"/>
      <w:sz w:val="21"/>
      <w:szCs w:val="24"/>
    </w:rPr>
  </w:style>
  <w:style w:type="character" w:customStyle="1" w:styleId="92">
    <w:name w:val="正文文本 Char"/>
    <w:link w:val="18"/>
    <w:qFormat/>
    <w:uiPriority w:val="0"/>
    <w:rPr>
      <w:rFonts w:eastAsia="宋体"/>
      <w:b/>
      <w:bCs/>
      <w:kern w:val="2"/>
      <w:sz w:val="24"/>
      <w:szCs w:val="24"/>
      <w:lang w:val="en-US" w:eastAsia="zh-CN" w:bidi="ar-SA"/>
    </w:rPr>
  </w:style>
  <w:style w:type="character" w:customStyle="1" w:styleId="93">
    <w:name w:val="正文文本缩进 2 Char"/>
    <w:link w:val="25"/>
    <w:qFormat/>
    <w:uiPriority w:val="0"/>
    <w:rPr>
      <w:rFonts w:ascii="宋体" w:hAnsi="宋体" w:eastAsia="宋体"/>
      <w:kern w:val="2"/>
      <w:sz w:val="21"/>
      <w:szCs w:val="24"/>
      <w:lang w:val="en-US" w:eastAsia="zh-CN" w:bidi="ar-SA"/>
    </w:rPr>
  </w:style>
  <w:style w:type="character" w:customStyle="1" w:styleId="94">
    <w:name w:val="页眉 Char"/>
    <w:link w:val="28"/>
    <w:qFormat/>
    <w:uiPriority w:val="99"/>
    <w:rPr>
      <w:rFonts w:eastAsia="宋体"/>
      <w:kern w:val="2"/>
      <w:sz w:val="18"/>
      <w:szCs w:val="18"/>
      <w:lang w:val="en-US" w:eastAsia="zh-CN" w:bidi="ar-SA"/>
    </w:rPr>
  </w:style>
  <w:style w:type="character" w:customStyle="1" w:styleId="95">
    <w:name w:val="正文文本缩进 3 Char"/>
    <w:link w:val="33"/>
    <w:qFormat/>
    <w:uiPriority w:val="0"/>
    <w:rPr>
      <w:rFonts w:ascii="宋体" w:eastAsia="宋体"/>
      <w:b/>
      <w:bCs/>
      <w:kern w:val="2"/>
      <w:sz w:val="24"/>
      <w:szCs w:val="24"/>
      <w:lang w:val="en-US" w:eastAsia="zh-CN" w:bidi="ar-SA"/>
    </w:rPr>
  </w:style>
  <w:style w:type="character" w:customStyle="1" w:styleId="96">
    <w:name w:val="正文文本 2 Char"/>
    <w:link w:val="36"/>
    <w:qFormat/>
    <w:uiPriority w:val="0"/>
    <w:rPr>
      <w:rFonts w:eastAsia="宋体"/>
      <w:kern w:val="2"/>
      <w:sz w:val="24"/>
      <w:szCs w:val="24"/>
      <w:lang w:val="en-US" w:eastAsia="zh-CN" w:bidi="ar-SA"/>
    </w:rPr>
  </w:style>
  <w:style w:type="character" w:customStyle="1" w:styleId="97">
    <w:name w:val="页脚 Char"/>
    <w:link w:val="27"/>
    <w:qFormat/>
    <w:uiPriority w:val="0"/>
    <w:rPr>
      <w:rFonts w:eastAsia="宋体"/>
      <w:kern w:val="2"/>
      <w:sz w:val="18"/>
      <w:szCs w:val="18"/>
      <w:lang w:val="en-US" w:eastAsia="zh-CN" w:bidi="ar-SA"/>
    </w:rPr>
  </w:style>
  <w:style w:type="character" w:customStyle="1" w:styleId="98">
    <w:name w:val="正文文本 3 Char"/>
    <w:link w:val="17"/>
    <w:qFormat/>
    <w:uiPriority w:val="0"/>
    <w:rPr>
      <w:rFonts w:eastAsia="宋体"/>
      <w:kern w:val="2"/>
      <w:sz w:val="16"/>
      <w:szCs w:val="16"/>
      <w:lang w:val="en-US" w:eastAsia="zh-CN" w:bidi="ar-SA"/>
    </w:rPr>
  </w:style>
  <w:style w:type="character" w:customStyle="1" w:styleId="99">
    <w:name w:val="批注框文本 Char"/>
    <w:link w:val="26"/>
    <w:semiHidden/>
    <w:qFormat/>
    <w:uiPriority w:val="0"/>
    <w:rPr>
      <w:rFonts w:eastAsia="宋体"/>
      <w:kern w:val="2"/>
      <w:sz w:val="18"/>
      <w:szCs w:val="18"/>
      <w:lang w:val="en-US" w:eastAsia="zh-CN" w:bidi="ar-SA"/>
    </w:rPr>
  </w:style>
  <w:style w:type="paragraph" w:customStyle="1" w:styleId="100">
    <w:name w:val="样式1"/>
    <w:basedOn w:val="40"/>
    <w:qFormat/>
    <w:uiPriority w:val="0"/>
    <w:pPr>
      <w:spacing w:before="120" w:after="120"/>
    </w:pPr>
    <w:rPr>
      <w:rFonts w:eastAsia="黑体"/>
      <w:b w:val="0"/>
      <w:sz w:val="30"/>
      <w:szCs w:val="21"/>
    </w:rPr>
  </w:style>
  <w:style w:type="paragraph" w:customStyle="1" w:styleId="101">
    <w:name w:val="样式2"/>
    <w:basedOn w:val="40"/>
    <w:next w:val="100"/>
    <w:qFormat/>
    <w:uiPriority w:val="0"/>
    <w:pPr>
      <w:spacing w:before="120" w:after="120"/>
    </w:pPr>
    <w:rPr>
      <w:rFonts w:eastAsia="黑体"/>
      <w:b w:val="0"/>
      <w:sz w:val="30"/>
      <w:szCs w:val="30"/>
    </w:rPr>
  </w:style>
  <w:style w:type="character" w:customStyle="1" w:styleId="102">
    <w:name w:val="标题 3 Char Char"/>
    <w:qFormat/>
    <w:uiPriority w:val="0"/>
    <w:rPr>
      <w:rFonts w:eastAsia="宋体"/>
      <w:b/>
      <w:bCs/>
      <w:kern w:val="2"/>
      <w:sz w:val="32"/>
      <w:szCs w:val="32"/>
      <w:lang w:val="en-US" w:eastAsia="zh-CN" w:bidi="ar-SA"/>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szCs w:val="20"/>
    </w:rPr>
  </w:style>
  <w:style w:type="paragraph" w:customStyle="1" w:styleId="106">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7">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sz w:val="24"/>
    </w:rPr>
  </w:style>
  <w:style w:type="paragraph" w:customStyle="1" w:styleId="109">
    <w:name w:val="文字"/>
    <w:basedOn w:val="1"/>
    <w:qFormat/>
    <w:uiPriority w:val="0"/>
    <w:pPr>
      <w:tabs>
        <w:tab w:val="left" w:pos="8520"/>
      </w:tabs>
      <w:spacing w:line="312" w:lineRule="auto"/>
      <w:ind w:right="-210" w:firstLine="556"/>
    </w:pPr>
    <w:rPr>
      <w:rFonts w:ascii="宋体"/>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szCs w:val="21"/>
    </w:rPr>
  </w:style>
  <w:style w:type="paragraph" w:customStyle="1" w:styleId="113">
    <w:name w:val="--规划-题注"/>
    <w:basedOn w:val="1"/>
    <w:next w:val="105"/>
    <w:qFormat/>
    <w:uiPriority w:val="0"/>
    <w:pPr>
      <w:spacing w:line="360" w:lineRule="auto"/>
      <w:jc w:val="center"/>
    </w:pPr>
    <w:rPr>
      <w:rFonts w:eastAsia="黑体"/>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eastAsia="黑体"/>
    </w:rPr>
  </w:style>
  <w:style w:type="paragraph" w:customStyle="1" w:styleId="116">
    <w:name w:val="--规划正文 Char"/>
    <w:basedOn w:val="1"/>
    <w:qFormat/>
    <w:uiPriority w:val="0"/>
    <w:pPr>
      <w:spacing w:line="360" w:lineRule="auto"/>
      <w:ind w:firstLine="200" w:firstLineChars="200"/>
    </w:pPr>
    <w:rPr>
      <w:sz w:val="24"/>
    </w:rPr>
  </w:style>
  <w:style w:type="paragraph" w:customStyle="1" w:styleId="117">
    <w:name w:val="缺省文本"/>
    <w:basedOn w:val="1"/>
    <w:qFormat/>
    <w:uiPriority w:val="0"/>
    <w:pPr>
      <w:autoSpaceDE w:val="0"/>
      <w:autoSpaceDN w:val="0"/>
      <w:adjustRightInd w:val="0"/>
      <w:jc w:val="left"/>
    </w:pPr>
    <w:rPr>
      <w:kern w:val="0"/>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9">
    <w:name w:val="--规划正文 Char Char"/>
    <w:qFormat/>
    <w:uiPriority w:val="0"/>
    <w:rPr>
      <w:rFonts w:eastAsia="宋体"/>
      <w:kern w:val="2"/>
      <w:sz w:val="24"/>
      <w:szCs w:val="24"/>
      <w:lang w:val="en-US" w:eastAsia="zh-CN" w:bidi="ar-SA"/>
    </w:rPr>
  </w:style>
  <w:style w:type="paragraph" w:customStyle="1" w:styleId="120">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1">
    <w:name w:val="--规划正文 Char1"/>
    <w:qFormat/>
    <w:uiPriority w:val="0"/>
    <w:rPr>
      <w:rFonts w:eastAsia="宋体"/>
      <w:kern w:val="2"/>
      <w:sz w:val="21"/>
      <w:lang w:val="en-US" w:eastAsia="zh-CN" w:bidi="ar-SA"/>
    </w:rPr>
  </w:style>
  <w:style w:type="paragraph" w:customStyle="1" w:styleId="122">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3">
    <w:name w:val="列表项目"/>
    <w:basedOn w:val="1"/>
    <w:qFormat/>
    <w:uiPriority w:val="0"/>
    <w:pPr>
      <w:tabs>
        <w:tab w:val="left" w:pos="420"/>
        <w:tab w:val="left" w:pos="1080"/>
      </w:tabs>
      <w:spacing w:line="288" w:lineRule="auto"/>
      <w:ind w:left="1080" w:hanging="360"/>
    </w:pPr>
    <w:rPr>
      <w:sz w:val="24"/>
      <w:szCs w:val="20"/>
    </w:rPr>
  </w:style>
  <w:style w:type="character" w:customStyle="1" w:styleId="124">
    <w:name w:val="content1"/>
    <w:qFormat/>
    <w:uiPriority w:val="0"/>
    <w:rPr>
      <w:rFonts w:hint="default" w:ascii="??" w:hAnsi="??"/>
      <w:sz w:val="16"/>
      <w:szCs w:val="16"/>
      <w:u w:val="none"/>
    </w:rPr>
  </w:style>
  <w:style w:type="character" w:customStyle="1" w:styleId="125">
    <w:name w:val="unnamed4"/>
    <w:basedOn w:val="46"/>
    <w:qFormat/>
    <w:uiPriority w:val="0"/>
  </w:style>
  <w:style w:type="character" w:customStyle="1" w:styleId="126">
    <w:name w:val="font2"/>
    <w:basedOn w:val="46"/>
    <w:qFormat/>
    <w:uiPriority w:val="0"/>
  </w:style>
  <w:style w:type="character" w:customStyle="1" w:styleId="127">
    <w:name w:val="font41"/>
    <w:qFormat/>
    <w:uiPriority w:val="0"/>
    <w:rPr>
      <w:color w:val="000000"/>
      <w:spacing w:val="260"/>
      <w:sz w:val="18"/>
      <w:szCs w:val="18"/>
      <w:u w:val="none"/>
    </w:rPr>
  </w:style>
  <w:style w:type="paragraph" w:customStyle="1" w:styleId="128">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9">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30">
    <w:name w:val="正文首行缩进 Char"/>
    <w:link w:val="42"/>
    <w:qFormat/>
    <w:uiPriority w:val="0"/>
    <w:rPr>
      <w:rFonts w:eastAsia="宋体"/>
      <w:b/>
      <w:bCs/>
      <w:kern w:val="2"/>
      <w:sz w:val="21"/>
      <w:szCs w:val="24"/>
      <w:lang w:val="en-US" w:eastAsia="zh-CN" w:bidi="ar-SA"/>
    </w:rPr>
  </w:style>
  <w:style w:type="paragraph" w:customStyle="1" w:styleId="131">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2">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3">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4">
    <w:name w:val="mode"/>
    <w:basedOn w:val="46"/>
    <w:qFormat/>
    <w:uiPriority w:val="0"/>
  </w:style>
  <w:style w:type="paragraph" w:customStyle="1" w:styleId="135">
    <w:name w:val="9"/>
    <w:basedOn w:val="1"/>
    <w:next w:val="7"/>
    <w:qFormat/>
    <w:uiPriority w:val="0"/>
    <w:pPr>
      <w:autoSpaceDE w:val="0"/>
      <w:autoSpaceDN w:val="0"/>
      <w:adjustRightInd w:val="0"/>
      <w:ind w:firstLine="420"/>
      <w:jc w:val="left"/>
      <w:textAlignment w:val="baseline"/>
    </w:pPr>
    <w:rPr>
      <w:rFonts w:ascii="宋体"/>
      <w:kern w:val="0"/>
      <w:sz w:val="34"/>
      <w:szCs w:val="20"/>
    </w:rPr>
  </w:style>
  <w:style w:type="character" w:customStyle="1" w:styleId="136">
    <w:name w:val="unnamed3"/>
    <w:basedOn w:val="46"/>
    <w:qFormat/>
    <w:uiPriority w:val="0"/>
  </w:style>
  <w:style w:type="paragraph" w:customStyle="1" w:styleId="137">
    <w:name w:val="8"/>
    <w:basedOn w:val="1"/>
    <w:next w:val="19"/>
    <w:qFormat/>
    <w:uiPriority w:val="0"/>
    <w:pPr>
      <w:spacing w:after="120"/>
      <w:ind w:left="420" w:leftChars="200"/>
    </w:pPr>
  </w:style>
  <w:style w:type="paragraph" w:customStyle="1" w:styleId="138">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40">
    <w:name w:val="5"/>
    <w:basedOn w:val="1"/>
    <w:qFormat/>
    <w:uiPriority w:val="0"/>
    <w:pPr>
      <w:autoSpaceDE w:val="0"/>
      <w:autoSpaceDN w:val="0"/>
      <w:adjustRightInd w:val="0"/>
      <w:jc w:val="left"/>
    </w:pPr>
    <w:rPr>
      <w:rFonts w:ascii="宋体"/>
      <w:b/>
      <w:bCs/>
      <w:kern w:val="0"/>
      <w:sz w:val="18"/>
      <w:szCs w:val="18"/>
    </w:rPr>
  </w:style>
  <w:style w:type="paragraph" w:customStyle="1" w:styleId="141">
    <w:name w:val="6"/>
    <w:basedOn w:val="140"/>
    <w:qFormat/>
    <w:uiPriority w:val="0"/>
    <w:pPr>
      <w:spacing w:line="270" w:lineRule="atLeast"/>
      <w:jc w:val="both"/>
    </w:pPr>
    <w:rPr>
      <w:b w:val="0"/>
      <w:bCs w:val="0"/>
    </w:rPr>
  </w:style>
  <w:style w:type="paragraph" w:customStyle="1" w:styleId="142">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3">
    <w:name w:val="姜文清定义的正文"/>
    <w:basedOn w:val="1"/>
    <w:qFormat/>
    <w:uiPriority w:val="0"/>
    <w:pPr>
      <w:spacing w:line="240" w:lineRule="atLeast"/>
      <w:ind w:firstLine="567"/>
    </w:pPr>
    <w:rPr>
      <w:szCs w:val="20"/>
    </w:rPr>
  </w:style>
  <w:style w:type="paragraph" w:customStyle="1" w:styleId="14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5">
    <w:name w:val="CM2"/>
    <w:basedOn w:val="144"/>
    <w:next w:val="144"/>
    <w:qFormat/>
    <w:uiPriority w:val="0"/>
    <w:pPr>
      <w:spacing w:line="200" w:lineRule="atLeast"/>
    </w:pPr>
    <w:rPr>
      <w:rFonts w:ascii="Arial" w:hAnsi="Arial" w:eastAsia="宋体" w:cs="Times New Roman"/>
      <w:color w:val="auto"/>
    </w:rPr>
  </w:style>
  <w:style w:type="paragraph" w:customStyle="1" w:styleId="146">
    <w:name w:val="Normal Paragraph"/>
    <w:basedOn w:val="1"/>
    <w:qFormat/>
    <w:uiPriority w:val="0"/>
    <w:pPr>
      <w:widowControl/>
      <w:spacing w:before="120" w:line="360" w:lineRule="auto"/>
      <w:ind w:firstLine="425"/>
    </w:pPr>
    <w:rPr>
      <w:kern w:val="0"/>
      <w:sz w:val="24"/>
    </w:rPr>
  </w:style>
  <w:style w:type="character" w:customStyle="1" w:styleId="147">
    <w:name w:val="blue"/>
    <w:basedOn w:val="46"/>
    <w:qFormat/>
    <w:uiPriority w:val="0"/>
  </w:style>
  <w:style w:type="paragraph" w:customStyle="1" w:styleId="148">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9">
    <w:name w:val="font"/>
    <w:basedOn w:val="46"/>
    <w:qFormat/>
    <w:uiPriority w:val="0"/>
  </w:style>
  <w:style w:type="character" w:customStyle="1" w:styleId="150">
    <w:name w:val="font11"/>
    <w:qFormat/>
    <w:uiPriority w:val="0"/>
    <w:rPr>
      <w:rFonts w:hint="default" w:ascii="ˎ̥" w:hAnsi="ˎ̥"/>
    </w:rPr>
  </w:style>
  <w:style w:type="paragraph" w:customStyle="1" w:styleId="151">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2">
    <w:name w:val="proddescription"/>
    <w:basedOn w:val="46"/>
    <w:qFormat/>
    <w:uiPriority w:val="0"/>
  </w:style>
  <w:style w:type="character" w:customStyle="1" w:styleId="153">
    <w:name w:val="prodheadlines"/>
    <w:basedOn w:val="46"/>
    <w:qFormat/>
    <w:uiPriority w:val="0"/>
  </w:style>
  <w:style w:type="character" w:customStyle="1" w:styleId="154">
    <w:name w:val="text"/>
    <w:basedOn w:val="46"/>
    <w:qFormat/>
    <w:uiPriority w:val="0"/>
  </w:style>
  <w:style w:type="paragraph" w:customStyle="1" w:styleId="155">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7">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8">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9">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0">
    <w:name w:val="段落正文"/>
    <w:basedOn w:val="22"/>
    <w:qFormat/>
    <w:uiPriority w:val="0"/>
    <w:pPr>
      <w:ind w:firstLine="560" w:firstLineChars="200"/>
    </w:pPr>
    <w:rPr>
      <w:sz w:val="28"/>
    </w:rPr>
  </w:style>
  <w:style w:type="character" w:customStyle="1" w:styleId="161">
    <w:name w:val="gray6"/>
    <w:basedOn w:val="46"/>
    <w:qFormat/>
    <w:uiPriority w:val="0"/>
  </w:style>
  <w:style w:type="character" w:customStyle="1" w:styleId="162">
    <w:name w:val="style9"/>
    <w:basedOn w:val="46"/>
    <w:qFormat/>
    <w:uiPriority w:val="0"/>
  </w:style>
  <w:style w:type="paragraph" w:customStyle="1" w:styleId="163">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4">
    <w:name w:val="grame"/>
    <w:basedOn w:val="46"/>
    <w:qFormat/>
    <w:uiPriority w:val="0"/>
  </w:style>
  <w:style w:type="paragraph" w:customStyle="1" w:styleId="165">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6">
    <w:name w:val="Char1"/>
    <w:basedOn w:val="1"/>
    <w:qFormat/>
    <w:uiPriority w:val="0"/>
    <w:pPr>
      <w:jc w:val="left"/>
    </w:pPr>
    <w:rPr>
      <w:rFonts w:ascii="Tahoma" w:hAnsi="Tahoma"/>
      <w:sz w:val="24"/>
      <w:szCs w:val="20"/>
    </w:rPr>
  </w:style>
  <w:style w:type="paragraph" w:customStyle="1" w:styleId="167">
    <w:name w:val="编号1"/>
    <w:basedOn w:val="1"/>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68">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1">
    <w:name w:val="font6"/>
    <w:basedOn w:val="1"/>
    <w:qFormat/>
    <w:uiPriority w:val="0"/>
    <w:pPr>
      <w:widowControl/>
      <w:spacing w:before="100" w:beforeAutospacing="1" w:after="100" w:afterAutospacing="1"/>
      <w:jc w:val="left"/>
    </w:pPr>
    <w:rPr>
      <w:kern w:val="0"/>
      <w:sz w:val="24"/>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4">
    <w:name w:val="表格字"/>
    <w:basedOn w:val="1"/>
    <w:qFormat/>
    <w:uiPriority w:val="0"/>
    <w:pPr>
      <w:adjustRightInd w:val="0"/>
      <w:jc w:val="center"/>
    </w:pPr>
    <w:rPr>
      <w:rFonts w:ascii="宋体"/>
      <w:sz w:val="24"/>
      <w:szCs w:val="20"/>
    </w:rPr>
  </w:style>
  <w:style w:type="character" w:customStyle="1" w:styleId="175">
    <w:name w:val="样式 小三 加粗"/>
    <w:qFormat/>
    <w:uiPriority w:val="0"/>
    <w:rPr>
      <w:rFonts w:eastAsia="宋体"/>
      <w:b/>
      <w:bCs/>
      <w:sz w:val="32"/>
    </w:rPr>
  </w:style>
  <w:style w:type="paragraph" w:customStyle="1" w:styleId="17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8">
    <w:name w:val="Char Char Char"/>
    <w:basedOn w:val="1"/>
    <w:qFormat/>
    <w:uiPriority w:val="0"/>
    <w:rPr>
      <w:rFonts w:ascii="Tahoma" w:hAnsi="Tahoma"/>
      <w:sz w:val="24"/>
      <w:szCs w:val="20"/>
    </w:rPr>
  </w:style>
  <w:style w:type="paragraph" w:customStyle="1" w:styleId="179">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0">
    <w:name w:val="info4"/>
    <w:basedOn w:val="46"/>
    <w:qFormat/>
    <w:uiPriority w:val="0"/>
  </w:style>
  <w:style w:type="paragraph" w:customStyle="1" w:styleId="181">
    <w:name w:val="缩进正文"/>
    <w:basedOn w:val="1"/>
    <w:link w:val="182"/>
    <w:qFormat/>
    <w:uiPriority w:val="0"/>
    <w:pPr>
      <w:ind w:firstLine="560" w:firstLineChars="200"/>
    </w:pPr>
    <w:rPr>
      <w:rFonts w:eastAsia="仿宋_GB2312" w:cs="宋体"/>
      <w:sz w:val="28"/>
      <w:szCs w:val="20"/>
    </w:rPr>
  </w:style>
  <w:style w:type="character" w:customStyle="1" w:styleId="182">
    <w:name w:val="缩进正文 Char"/>
    <w:link w:val="181"/>
    <w:qFormat/>
    <w:uiPriority w:val="0"/>
    <w:rPr>
      <w:rFonts w:eastAsia="仿宋_GB2312" w:cs="宋体"/>
      <w:kern w:val="2"/>
      <w:sz w:val="28"/>
      <w:lang w:val="en-US" w:eastAsia="zh-CN" w:bidi="ar-SA"/>
    </w:rPr>
  </w:style>
  <w:style w:type="paragraph" w:customStyle="1" w:styleId="183">
    <w:name w:val="列出段落1"/>
    <w:basedOn w:val="1"/>
    <w:qFormat/>
    <w:uiPriority w:val="0"/>
    <w:pPr>
      <w:ind w:firstLine="420" w:firstLineChars="200"/>
    </w:pPr>
    <w:rPr>
      <w:rFonts w:ascii="Calibri" w:hAnsi="Calibri" w:cs="Calibri"/>
      <w:szCs w:val="21"/>
    </w:rPr>
  </w:style>
  <w:style w:type="character" w:customStyle="1" w:styleId="184">
    <w:name w:val="批注文字 Char"/>
    <w:basedOn w:val="46"/>
    <w:link w:val="16"/>
    <w:qFormat/>
    <w:uiPriority w:val="0"/>
    <w:rPr>
      <w:rFonts w:ascii="宋体"/>
      <w:sz w:val="34"/>
    </w:rPr>
  </w:style>
  <w:style w:type="character" w:customStyle="1" w:styleId="185">
    <w:name w:val="批注主题 Char"/>
    <w:basedOn w:val="184"/>
    <w:link w:val="41"/>
    <w:qFormat/>
    <w:uiPriority w:val="0"/>
    <w:rPr>
      <w:rFonts w:ascii="宋体"/>
      <w:sz w:val="34"/>
    </w:rPr>
  </w:style>
  <w:style w:type="paragraph" w:customStyle="1" w:styleId="186">
    <w:name w:val="评价"/>
    <w:basedOn w:val="1"/>
    <w:qFormat/>
    <w:uiPriority w:val="0"/>
    <w:pPr>
      <w:spacing w:afterLines="20"/>
      <w:ind w:firstLine="1446" w:firstLineChars="200"/>
    </w:pPr>
    <w:rPr>
      <w:rFonts w:ascii="Calibri" w:hAnsi="Calibri"/>
      <w:sz w:val="24"/>
    </w:rPr>
  </w:style>
  <w:style w:type="paragraph" w:customStyle="1" w:styleId="18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8">
    <w:name w:val="alt-edited1"/>
    <w:qFormat/>
    <w:uiPriority w:val="0"/>
    <w:rPr>
      <w:color w:val="4D90F0"/>
    </w:rPr>
  </w:style>
  <w:style w:type="paragraph" w:customStyle="1" w:styleId="189">
    <w:name w:val="toc 14"/>
    <w:next w:val="1"/>
    <w:qFormat/>
    <w:uiPriority w:val="0"/>
    <w:pPr>
      <w:wordWrap w:val="0"/>
      <w:jc w:val="both"/>
    </w:pPr>
    <w:rPr>
      <w:rFonts w:ascii="Calibri" w:hAnsi="Calibri" w:eastAsia="宋体" w:cs="Times New Roman"/>
      <w:sz w:val="21"/>
      <w:lang w:val="en-US" w:eastAsia="zh-CN" w:bidi="ar-SA"/>
    </w:rPr>
  </w:style>
  <w:style w:type="character" w:customStyle="1" w:styleId="190">
    <w:name w:val="文档结构图 Char1"/>
    <w:semiHidden/>
    <w:qFormat/>
    <w:uiPriority w:val="0"/>
    <w:rPr>
      <w:sz w:val="20"/>
    </w:rPr>
  </w:style>
  <w:style w:type="character" w:customStyle="1" w:styleId="191">
    <w:name w:val="文档结构图 Char"/>
    <w:semiHidden/>
    <w:qFormat/>
    <w:uiPriority w:val="0"/>
    <w:rPr>
      <w:sz w:val="20"/>
    </w:rPr>
  </w:style>
  <w:style w:type="character" w:customStyle="1" w:styleId="192">
    <w:name w:val="short_text"/>
    <w:basedOn w:val="46"/>
    <w:qFormat/>
    <w:uiPriority w:val="0"/>
    <w:rPr>
      <w:sz w:val="20"/>
    </w:rPr>
  </w:style>
  <w:style w:type="character" w:customStyle="1" w:styleId="193">
    <w:name w:val="标题 Char1"/>
    <w:qFormat/>
    <w:uiPriority w:val="0"/>
    <w:rPr>
      <w:b/>
      <w:sz w:val="20"/>
    </w:rPr>
  </w:style>
  <w:style w:type="character" w:customStyle="1" w:styleId="194">
    <w:name w:val="正文文本缩进 3 Char1"/>
    <w:semiHidden/>
    <w:qFormat/>
    <w:uiPriority w:val="0"/>
    <w:rPr>
      <w:sz w:val="20"/>
    </w:rPr>
  </w:style>
  <w:style w:type="character" w:customStyle="1" w:styleId="195">
    <w:name w:val="font21"/>
    <w:qFormat/>
    <w:uiPriority w:val="0"/>
    <w:rPr>
      <w:color w:val="FF0000"/>
      <w:sz w:val="20"/>
      <w:u w:val="none"/>
    </w:rPr>
  </w:style>
  <w:style w:type="character" w:customStyle="1" w:styleId="196">
    <w:name w:val="不明显强调1"/>
    <w:qFormat/>
    <w:uiPriority w:val="0"/>
    <w:rPr>
      <w:i/>
      <w:sz w:val="20"/>
    </w:rPr>
  </w:style>
  <w:style w:type="character" w:customStyle="1" w:styleId="197">
    <w:name w:val="font71"/>
    <w:qFormat/>
    <w:uiPriority w:val="0"/>
    <w:rPr>
      <w:sz w:val="20"/>
      <w:u w:val="none"/>
    </w:rPr>
  </w:style>
  <w:style w:type="character" w:customStyle="1" w:styleId="198">
    <w:name w:val="页眉 Char1"/>
    <w:semiHidden/>
    <w:qFormat/>
    <w:uiPriority w:val="0"/>
    <w:rPr>
      <w:sz w:val="20"/>
    </w:rPr>
  </w:style>
  <w:style w:type="character" w:customStyle="1" w:styleId="199">
    <w:name w:val="正文文本缩进 2 Char1"/>
    <w:semiHidden/>
    <w:qFormat/>
    <w:uiPriority w:val="0"/>
    <w:rPr>
      <w:sz w:val="20"/>
    </w:rPr>
  </w:style>
  <w:style w:type="character" w:customStyle="1" w:styleId="200">
    <w:name w:val="font61"/>
    <w:qFormat/>
    <w:uiPriority w:val="0"/>
    <w:rPr>
      <w:sz w:val="20"/>
      <w:u w:val="none"/>
    </w:rPr>
  </w:style>
  <w:style w:type="character" w:customStyle="1" w:styleId="201">
    <w:name w:val="纯文本 Char1"/>
    <w:semiHidden/>
    <w:qFormat/>
    <w:uiPriority w:val="0"/>
    <w:rPr>
      <w:sz w:val="20"/>
    </w:rPr>
  </w:style>
  <w:style w:type="character" w:customStyle="1" w:styleId="202">
    <w:name w:val="正文文本 3 Char1"/>
    <w:semiHidden/>
    <w:qFormat/>
    <w:uiPriority w:val="0"/>
    <w:rPr>
      <w:sz w:val="20"/>
    </w:rPr>
  </w:style>
  <w:style w:type="character" w:customStyle="1" w:styleId="203">
    <w:name w:val="正文文本缩进 Char1"/>
    <w:semiHidden/>
    <w:qFormat/>
    <w:uiPriority w:val="0"/>
    <w:rPr>
      <w:sz w:val="20"/>
    </w:rPr>
  </w:style>
  <w:style w:type="character" w:customStyle="1" w:styleId="204">
    <w:name w:val="明显参考1"/>
    <w:qFormat/>
    <w:uiPriority w:val="0"/>
    <w:rPr>
      <w:b/>
      <w:sz w:val="20"/>
    </w:rPr>
  </w:style>
  <w:style w:type="character" w:customStyle="1" w:styleId="205">
    <w:name w:val="apple-converted-space"/>
    <w:qFormat/>
    <w:uiPriority w:val="0"/>
    <w:rPr>
      <w:sz w:val="20"/>
    </w:rPr>
  </w:style>
  <w:style w:type="character" w:customStyle="1" w:styleId="206">
    <w:name w:val="书籍标题1"/>
    <w:qFormat/>
    <w:uiPriority w:val="0"/>
    <w:rPr>
      <w:b/>
      <w:i/>
      <w:sz w:val="20"/>
    </w:rPr>
  </w:style>
  <w:style w:type="character" w:customStyle="1" w:styleId="207">
    <w:name w:val="long_text"/>
    <w:qFormat/>
    <w:uiPriority w:val="0"/>
    <w:rPr>
      <w:sz w:val="20"/>
    </w:rPr>
  </w:style>
  <w:style w:type="character" w:customStyle="1" w:styleId="208">
    <w:name w:val="日期 Char1"/>
    <w:semiHidden/>
    <w:qFormat/>
    <w:uiPriority w:val="0"/>
    <w:rPr>
      <w:sz w:val="20"/>
    </w:rPr>
  </w:style>
  <w:style w:type="character" w:customStyle="1" w:styleId="209">
    <w:name w:val="批注文字 Char1"/>
    <w:semiHidden/>
    <w:qFormat/>
    <w:uiPriority w:val="0"/>
    <w:rPr>
      <w:sz w:val="20"/>
    </w:rPr>
  </w:style>
  <w:style w:type="character" w:customStyle="1" w:styleId="210">
    <w:name w:val="明显强调1"/>
    <w:qFormat/>
    <w:uiPriority w:val="0"/>
    <w:rPr>
      <w:i/>
      <w:sz w:val="20"/>
    </w:rPr>
  </w:style>
  <w:style w:type="character" w:customStyle="1" w:styleId="211">
    <w:name w:val="16"/>
    <w:qFormat/>
    <w:uiPriority w:val="0"/>
    <w:rPr>
      <w:b/>
      <w:color w:val="FF0356"/>
      <w:sz w:val="20"/>
    </w:rPr>
  </w:style>
  <w:style w:type="character" w:customStyle="1" w:styleId="212">
    <w:name w:val="批注主题 Char1"/>
    <w:semiHidden/>
    <w:qFormat/>
    <w:uiPriority w:val="0"/>
    <w:rPr>
      <w:b/>
      <w:sz w:val="20"/>
    </w:rPr>
  </w:style>
  <w:style w:type="character" w:customStyle="1" w:styleId="213">
    <w:name w:val="正文文本 2 Char1"/>
    <w:semiHidden/>
    <w:qFormat/>
    <w:uiPriority w:val="0"/>
    <w:rPr>
      <w:sz w:val="20"/>
    </w:rPr>
  </w:style>
  <w:style w:type="character" w:customStyle="1" w:styleId="214">
    <w:name w:val="font31"/>
    <w:qFormat/>
    <w:uiPriority w:val="0"/>
    <w:rPr>
      <w:color w:val="FF0000"/>
      <w:sz w:val="20"/>
      <w:u w:val="none"/>
      <w:vertAlign w:val="superscript"/>
    </w:rPr>
  </w:style>
  <w:style w:type="character" w:customStyle="1" w:styleId="215">
    <w:name w:val="不明显参考1"/>
    <w:qFormat/>
    <w:uiPriority w:val="0"/>
    <w:rPr>
      <w:sz w:val="20"/>
    </w:rPr>
  </w:style>
  <w:style w:type="character" w:customStyle="1" w:styleId="216">
    <w:name w:val="HTML 预设格式 Char1"/>
    <w:semiHidden/>
    <w:qFormat/>
    <w:uiPriority w:val="0"/>
    <w:rPr>
      <w:sz w:val="20"/>
    </w:rPr>
  </w:style>
  <w:style w:type="character" w:customStyle="1" w:styleId="217">
    <w:name w:val="font01"/>
    <w:qFormat/>
    <w:uiPriority w:val="0"/>
    <w:rPr>
      <w:color w:val="FF0000"/>
      <w:sz w:val="20"/>
      <w:u w:val="none"/>
      <w:vertAlign w:val="superscript"/>
    </w:rPr>
  </w:style>
  <w:style w:type="character" w:customStyle="1" w:styleId="218">
    <w:name w:val="页脚 Char1"/>
    <w:semiHidden/>
    <w:qFormat/>
    <w:uiPriority w:val="0"/>
    <w:rPr>
      <w:sz w:val="20"/>
    </w:rPr>
  </w:style>
  <w:style w:type="character" w:customStyle="1" w:styleId="219">
    <w:name w:val="批注框文本 Char1"/>
    <w:semiHidden/>
    <w:qFormat/>
    <w:uiPriority w:val="0"/>
    <w:rPr>
      <w:sz w:val="20"/>
    </w:rPr>
  </w:style>
  <w:style w:type="paragraph" w:customStyle="1" w:styleId="220">
    <w:name w:val="列出段落2"/>
    <w:basedOn w:val="1"/>
    <w:next w:val="221"/>
    <w:qFormat/>
    <w:uiPriority w:val="0"/>
    <w:pPr>
      <w:ind w:firstLine="420"/>
    </w:pPr>
    <w:rPr>
      <w:rFonts w:hAnsi="Calibri"/>
      <w:kern w:val="0"/>
      <w:szCs w:val="20"/>
    </w:rPr>
  </w:style>
  <w:style w:type="paragraph" w:customStyle="1" w:styleId="221">
    <w:name w:val="toc 814"/>
    <w:next w:val="1"/>
    <w:qFormat/>
    <w:uiPriority w:val="0"/>
    <w:pPr>
      <w:wordWrap w:val="0"/>
      <w:ind w:left="2975"/>
      <w:jc w:val="both"/>
    </w:pPr>
    <w:rPr>
      <w:rFonts w:ascii="Calibri" w:hAnsi="Calibri" w:eastAsia="宋体" w:cs="Times New Roman"/>
      <w:sz w:val="21"/>
      <w:lang w:val="en-US" w:eastAsia="zh-CN" w:bidi="ar-SA"/>
    </w:rPr>
  </w:style>
  <w:style w:type="paragraph" w:customStyle="1" w:styleId="222">
    <w:name w:val="toc 62"/>
    <w:next w:val="1"/>
    <w:qFormat/>
    <w:uiPriority w:val="0"/>
    <w:pPr>
      <w:wordWrap w:val="0"/>
      <w:ind w:left="2125"/>
      <w:jc w:val="both"/>
    </w:pPr>
    <w:rPr>
      <w:rFonts w:ascii="Calibri" w:hAnsi="Calibri" w:eastAsia="宋体" w:cs="Times New Roman"/>
      <w:sz w:val="21"/>
      <w:lang w:val="en-US" w:eastAsia="zh-CN" w:bidi="ar-SA"/>
    </w:rPr>
  </w:style>
  <w:style w:type="paragraph" w:customStyle="1" w:styleId="223">
    <w:name w:val="toc 414"/>
    <w:next w:val="1"/>
    <w:qFormat/>
    <w:uiPriority w:val="0"/>
    <w:pPr>
      <w:wordWrap w:val="0"/>
      <w:ind w:left="1275"/>
      <w:jc w:val="both"/>
    </w:pPr>
    <w:rPr>
      <w:rFonts w:ascii="Calibri" w:hAnsi="Calibri" w:eastAsia="宋体" w:cs="Times New Roman"/>
      <w:sz w:val="21"/>
      <w:lang w:val="en-US" w:eastAsia="zh-CN" w:bidi="ar-SA"/>
    </w:rPr>
  </w:style>
  <w:style w:type="paragraph" w:customStyle="1" w:styleId="224">
    <w:name w:val="toc 411"/>
    <w:next w:val="1"/>
    <w:qFormat/>
    <w:uiPriority w:val="0"/>
    <w:pPr>
      <w:wordWrap w:val="0"/>
      <w:ind w:left="1275"/>
      <w:jc w:val="both"/>
    </w:pPr>
    <w:rPr>
      <w:rFonts w:ascii="Calibri" w:hAnsi="Calibri" w:eastAsia="宋体" w:cs="Times New Roman"/>
      <w:sz w:val="21"/>
      <w:lang w:val="en-US" w:eastAsia="zh-CN" w:bidi="ar-SA"/>
    </w:rPr>
  </w:style>
  <w:style w:type="paragraph" w:customStyle="1" w:styleId="225">
    <w:name w:val="xl86"/>
    <w:basedOn w:val="1"/>
    <w:next w:val="226"/>
    <w:qFormat/>
    <w:uiPriority w:val="0"/>
    <w:pPr>
      <w:widowControl/>
      <w:shd w:val="clear" w:color="000000" w:fill="FFFFFF"/>
      <w:spacing w:before="280" w:after="280"/>
      <w:jc w:val="center"/>
    </w:pPr>
    <w:rPr>
      <w:rFonts w:ascii="宋体" w:hAnsi="Calibri"/>
      <w:kern w:val="0"/>
      <w:sz w:val="20"/>
      <w:szCs w:val="20"/>
    </w:rPr>
  </w:style>
  <w:style w:type="paragraph" w:customStyle="1" w:styleId="226">
    <w:name w:val="toc 515"/>
    <w:next w:val="1"/>
    <w:qFormat/>
    <w:uiPriority w:val="0"/>
    <w:pPr>
      <w:wordWrap w:val="0"/>
      <w:ind w:left="1700"/>
      <w:jc w:val="both"/>
    </w:pPr>
    <w:rPr>
      <w:rFonts w:ascii="Calibri" w:hAnsi="Calibri" w:eastAsia="宋体" w:cs="Times New Roman"/>
      <w:sz w:val="21"/>
      <w:lang w:val="en-US" w:eastAsia="zh-CN" w:bidi="ar-SA"/>
    </w:rPr>
  </w:style>
  <w:style w:type="paragraph" w:customStyle="1" w:styleId="227">
    <w:name w:val="TOC Heading4"/>
    <w:next w:val="1"/>
    <w:qFormat/>
    <w:uiPriority w:val="0"/>
    <w:pPr>
      <w:wordWrap w:val="0"/>
    </w:pPr>
    <w:rPr>
      <w:rFonts w:ascii="Calibri" w:hAnsi="Calibri" w:eastAsia="宋体" w:cs="Times New Roman"/>
      <w:sz w:val="32"/>
      <w:lang w:val="en-US" w:eastAsia="zh-CN" w:bidi="ar-SA"/>
    </w:rPr>
  </w:style>
  <w:style w:type="paragraph" w:customStyle="1" w:styleId="228">
    <w:name w:val="toc 15"/>
    <w:next w:val="1"/>
    <w:qFormat/>
    <w:uiPriority w:val="0"/>
    <w:pPr>
      <w:wordWrap w:val="0"/>
      <w:jc w:val="both"/>
    </w:pPr>
    <w:rPr>
      <w:rFonts w:ascii="Calibri" w:hAnsi="Calibri" w:eastAsia="宋体" w:cs="Times New Roman"/>
      <w:sz w:val="21"/>
      <w:lang w:val="en-US" w:eastAsia="zh-CN" w:bidi="ar-SA"/>
    </w:rPr>
  </w:style>
  <w:style w:type="paragraph" w:customStyle="1" w:styleId="229">
    <w:name w:val="TOC Heading2"/>
    <w:next w:val="1"/>
    <w:qFormat/>
    <w:uiPriority w:val="0"/>
    <w:pPr>
      <w:wordWrap w:val="0"/>
    </w:pPr>
    <w:rPr>
      <w:rFonts w:ascii="Calibri" w:hAnsi="Calibri" w:eastAsia="宋体" w:cs="Times New Roman"/>
      <w:sz w:val="32"/>
      <w:lang w:val="en-US" w:eastAsia="zh-CN" w:bidi="ar-SA"/>
    </w:rPr>
  </w:style>
  <w:style w:type="paragraph" w:customStyle="1" w:styleId="230">
    <w:name w:val="TOC Heading1"/>
    <w:next w:val="1"/>
    <w:qFormat/>
    <w:uiPriority w:val="0"/>
    <w:pPr>
      <w:wordWrap w:val="0"/>
    </w:pPr>
    <w:rPr>
      <w:rFonts w:ascii="Calibri" w:hAnsi="Calibri" w:eastAsia="宋体" w:cs="Times New Roman"/>
      <w:sz w:val="32"/>
      <w:lang w:val="en-US" w:eastAsia="zh-CN" w:bidi="ar-SA"/>
    </w:rPr>
  </w:style>
  <w:style w:type="paragraph" w:customStyle="1" w:styleId="231">
    <w:name w:val="toc 73"/>
    <w:next w:val="1"/>
    <w:qFormat/>
    <w:uiPriority w:val="0"/>
    <w:pPr>
      <w:wordWrap w:val="0"/>
      <w:ind w:left="2550"/>
      <w:jc w:val="both"/>
    </w:pPr>
    <w:rPr>
      <w:rFonts w:ascii="Calibri" w:hAnsi="Calibri" w:eastAsia="宋体" w:cs="Times New Roman"/>
      <w:sz w:val="21"/>
      <w:lang w:val="en-US" w:eastAsia="zh-CN" w:bidi="ar-SA"/>
    </w:rPr>
  </w:style>
  <w:style w:type="paragraph" w:customStyle="1" w:styleId="232">
    <w:name w:val="font7"/>
    <w:basedOn w:val="1"/>
    <w:next w:val="233"/>
    <w:qFormat/>
    <w:uiPriority w:val="0"/>
    <w:pPr>
      <w:widowControl/>
      <w:spacing w:before="280" w:after="280"/>
    </w:pPr>
    <w:rPr>
      <w:rFonts w:ascii="Arial" w:hAnsi="Calibri"/>
      <w:kern w:val="0"/>
      <w:sz w:val="18"/>
      <w:szCs w:val="20"/>
    </w:rPr>
  </w:style>
  <w:style w:type="paragraph" w:customStyle="1" w:styleId="233">
    <w:name w:val="toc 810"/>
    <w:next w:val="1"/>
    <w:qFormat/>
    <w:uiPriority w:val="0"/>
    <w:pPr>
      <w:wordWrap w:val="0"/>
      <w:ind w:left="2975"/>
      <w:jc w:val="both"/>
    </w:pPr>
    <w:rPr>
      <w:rFonts w:ascii="Calibri" w:hAnsi="Calibri" w:eastAsia="宋体" w:cs="Times New Roman"/>
      <w:sz w:val="21"/>
      <w:lang w:val="en-US" w:eastAsia="zh-CN" w:bidi="ar-SA"/>
    </w:rPr>
  </w:style>
  <w:style w:type="paragraph" w:customStyle="1" w:styleId="234">
    <w:name w:val="xl113"/>
    <w:basedOn w:val="1"/>
    <w:next w:val="235"/>
    <w:qFormat/>
    <w:uiPriority w:val="0"/>
    <w:pPr>
      <w:widowControl/>
      <w:shd w:val="clear" w:color="000000" w:fill="FFFFFF"/>
      <w:spacing w:before="280" w:after="280"/>
      <w:jc w:val="center"/>
    </w:pPr>
    <w:rPr>
      <w:rFonts w:ascii="宋体" w:hAnsi="Calibri"/>
      <w:b/>
      <w:kern w:val="0"/>
      <w:sz w:val="20"/>
      <w:szCs w:val="20"/>
    </w:rPr>
  </w:style>
  <w:style w:type="paragraph" w:customStyle="1" w:styleId="235">
    <w:name w:val="TOC Heading10"/>
    <w:next w:val="1"/>
    <w:qFormat/>
    <w:uiPriority w:val="0"/>
    <w:pPr>
      <w:wordWrap w:val="0"/>
    </w:pPr>
    <w:rPr>
      <w:rFonts w:ascii="Calibri" w:hAnsi="Calibri" w:eastAsia="宋体" w:cs="Times New Roman"/>
      <w:sz w:val="32"/>
      <w:lang w:val="en-US" w:eastAsia="zh-CN" w:bidi="ar-SA"/>
    </w:rPr>
  </w:style>
  <w:style w:type="paragraph" w:customStyle="1" w:styleId="236">
    <w:name w:val="toc 89"/>
    <w:next w:val="1"/>
    <w:qFormat/>
    <w:uiPriority w:val="0"/>
    <w:pPr>
      <w:wordWrap w:val="0"/>
      <w:ind w:left="2975"/>
      <w:jc w:val="both"/>
    </w:pPr>
    <w:rPr>
      <w:rFonts w:ascii="Calibri" w:hAnsi="Calibri" w:eastAsia="宋体" w:cs="Times New Roman"/>
      <w:sz w:val="21"/>
      <w:lang w:val="en-US" w:eastAsia="zh-CN" w:bidi="ar-SA"/>
    </w:rPr>
  </w:style>
  <w:style w:type="paragraph" w:customStyle="1" w:styleId="237">
    <w:name w:val="xl73"/>
    <w:basedOn w:val="1"/>
    <w:next w:val="238"/>
    <w:qFormat/>
    <w:uiPriority w:val="0"/>
    <w:pPr>
      <w:widowControl/>
      <w:shd w:val="clear" w:color="000000" w:fill="FFFFFF"/>
      <w:spacing w:before="280" w:after="280"/>
      <w:jc w:val="center"/>
    </w:pPr>
    <w:rPr>
      <w:rFonts w:ascii="宋体" w:hAnsi="Calibri"/>
      <w:kern w:val="0"/>
      <w:sz w:val="20"/>
      <w:szCs w:val="20"/>
    </w:rPr>
  </w:style>
  <w:style w:type="paragraph" w:customStyle="1" w:styleId="238">
    <w:name w:val="toc 613"/>
    <w:next w:val="1"/>
    <w:qFormat/>
    <w:uiPriority w:val="0"/>
    <w:pPr>
      <w:wordWrap w:val="0"/>
      <w:ind w:left="2125"/>
      <w:jc w:val="both"/>
    </w:pPr>
    <w:rPr>
      <w:rFonts w:ascii="Calibri" w:hAnsi="Calibri" w:eastAsia="宋体" w:cs="Times New Roman"/>
      <w:sz w:val="21"/>
      <w:lang w:val="en-US" w:eastAsia="zh-CN" w:bidi="ar-SA"/>
    </w:rPr>
  </w:style>
  <w:style w:type="paragraph" w:customStyle="1" w:styleId="239">
    <w:name w:val="xl79"/>
    <w:basedOn w:val="1"/>
    <w:next w:val="240"/>
    <w:qFormat/>
    <w:uiPriority w:val="0"/>
    <w:pPr>
      <w:widowControl/>
      <w:shd w:val="clear" w:color="000000" w:fill="FFFFFF"/>
      <w:spacing w:before="280" w:after="280"/>
    </w:pPr>
    <w:rPr>
      <w:rFonts w:ascii="宋体" w:hAnsi="Calibri"/>
      <w:b/>
      <w:kern w:val="0"/>
      <w:sz w:val="20"/>
      <w:szCs w:val="20"/>
    </w:rPr>
  </w:style>
  <w:style w:type="paragraph" w:customStyle="1" w:styleId="240">
    <w:name w:val="toc 87"/>
    <w:next w:val="1"/>
    <w:qFormat/>
    <w:uiPriority w:val="0"/>
    <w:pPr>
      <w:wordWrap w:val="0"/>
      <w:ind w:left="2975"/>
      <w:jc w:val="both"/>
    </w:pPr>
    <w:rPr>
      <w:rFonts w:ascii="Calibri" w:hAnsi="Calibri" w:eastAsia="宋体" w:cs="Times New Roman"/>
      <w:sz w:val="21"/>
      <w:lang w:val="en-US" w:eastAsia="zh-CN" w:bidi="ar-SA"/>
    </w:rPr>
  </w:style>
  <w:style w:type="paragraph" w:customStyle="1" w:styleId="241">
    <w:name w:val="toc 11"/>
    <w:next w:val="1"/>
    <w:qFormat/>
    <w:uiPriority w:val="0"/>
    <w:pPr>
      <w:wordWrap w:val="0"/>
      <w:jc w:val="both"/>
    </w:pPr>
    <w:rPr>
      <w:rFonts w:ascii="Calibri" w:hAnsi="Calibri" w:eastAsia="宋体" w:cs="Times New Roman"/>
      <w:sz w:val="21"/>
      <w:lang w:val="en-US" w:eastAsia="zh-CN" w:bidi="ar-SA"/>
    </w:rPr>
  </w:style>
  <w:style w:type="paragraph" w:customStyle="1" w:styleId="242">
    <w:name w:val="toc 410"/>
    <w:next w:val="1"/>
    <w:qFormat/>
    <w:uiPriority w:val="0"/>
    <w:pPr>
      <w:wordWrap w:val="0"/>
      <w:ind w:left="1275"/>
      <w:jc w:val="both"/>
    </w:pPr>
    <w:rPr>
      <w:rFonts w:ascii="Calibri" w:hAnsi="Calibri" w:eastAsia="宋体" w:cs="Times New Roman"/>
      <w:sz w:val="21"/>
      <w:lang w:val="en-US" w:eastAsia="zh-CN" w:bidi="ar-SA"/>
    </w:rPr>
  </w:style>
  <w:style w:type="paragraph" w:customStyle="1" w:styleId="243">
    <w:name w:val="toc 611"/>
    <w:next w:val="1"/>
    <w:qFormat/>
    <w:uiPriority w:val="0"/>
    <w:pPr>
      <w:wordWrap w:val="0"/>
      <w:ind w:left="2125"/>
      <w:jc w:val="both"/>
    </w:pPr>
    <w:rPr>
      <w:rFonts w:ascii="Calibri" w:hAnsi="Calibri" w:eastAsia="宋体" w:cs="Times New Roman"/>
      <w:sz w:val="21"/>
      <w:lang w:val="en-US" w:eastAsia="zh-CN" w:bidi="ar-SA"/>
    </w:rPr>
  </w:style>
  <w:style w:type="paragraph" w:customStyle="1" w:styleId="244">
    <w:name w:val="xl112"/>
    <w:basedOn w:val="1"/>
    <w:next w:val="243"/>
    <w:qFormat/>
    <w:uiPriority w:val="0"/>
    <w:pPr>
      <w:widowControl/>
      <w:shd w:val="clear" w:color="000000" w:fill="FFFFFF"/>
      <w:spacing w:before="280" w:after="280"/>
      <w:jc w:val="center"/>
    </w:pPr>
    <w:rPr>
      <w:rFonts w:ascii="宋体" w:hAnsi="Calibri"/>
      <w:b/>
      <w:kern w:val="0"/>
      <w:sz w:val="20"/>
      <w:szCs w:val="20"/>
    </w:rPr>
  </w:style>
  <w:style w:type="paragraph" w:customStyle="1" w:styleId="245">
    <w:name w:val="toc 514"/>
    <w:next w:val="1"/>
    <w:qFormat/>
    <w:uiPriority w:val="0"/>
    <w:pPr>
      <w:wordWrap w:val="0"/>
      <w:ind w:left="1700"/>
      <w:jc w:val="both"/>
    </w:pPr>
    <w:rPr>
      <w:rFonts w:ascii="Calibri" w:hAnsi="Calibri" w:eastAsia="宋体" w:cs="Times New Roman"/>
      <w:sz w:val="21"/>
      <w:lang w:val="en-US" w:eastAsia="zh-CN" w:bidi="ar-SA"/>
    </w:rPr>
  </w:style>
  <w:style w:type="paragraph" w:customStyle="1" w:styleId="246">
    <w:name w:val="toc 44"/>
    <w:next w:val="1"/>
    <w:qFormat/>
    <w:uiPriority w:val="0"/>
    <w:pPr>
      <w:wordWrap w:val="0"/>
      <w:ind w:left="1275"/>
      <w:jc w:val="both"/>
    </w:pPr>
    <w:rPr>
      <w:rFonts w:ascii="Calibri" w:hAnsi="Calibri" w:eastAsia="宋体" w:cs="Times New Roman"/>
      <w:sz w:val="21"/>
      <w:lang w:val="en-US" w:eastAsia="zh-CN" w:bidi="ar-SA"/>
    </w:rPr>
  </w:style>
  <w:style w:type="paragraph" w:customStyle="1" w:styleId="247">
    <w:name w:val="toc 412"/>
    <w:next w:val="1"/>
    <w:qFormat/>
    <w:uiPriority w:val="0"/>
    <w:pPr>
      <w:wordWrap w:val="0"/>
      <w:ind w:left="1275"/>
      <w:jc w:val="both"/>
    </w:pPr>
    <w:rPr>
      <w:rFonts w:ascii="Calibri" w:hAnsi="Calibri" w:eastAsia="宋体" w:cs="Times New Roman"/>
      <w:sz w:val="21"/>
      <w:lang w:val="en-US" w:eastAsia="zh-CN" w:bidi="ar-SA"/>
    </w:rPr>
  </w:style>
  <w:style w:type="paragraph" w:customStyle="1" w:styleId="248">
    <w:name w:val="xl74"/>
    <w:basedOn w:val="1"/>
    <w:next w:val="249"/>
    <w:qFormat/>
    <w:uiPriority w:val="0"/>
    <w:pPr>
      <w:widowControl/>
      <w:shd w:val="clear" w:color="000000" w:fill="FFFFFF"/>
      <w:spacing w:before="280" w:after="280"/>
    </w:pPr>
    <w:rPr>
      <w:rFonts w:ascii="宋体" w:hAnsi="Calibri"/>
      <w:kern w:val="0"/>
      <w:sz w:val="20"/>
      <w:szCs w:val="20"/>
    </w:rPr>
  </w:style>
  <w:style w:type="paragraph" w:customStyle="1" w:styleId="249">
    <w:name w:val="toc 57"/>
    <w:next w:val="1"/>
    <w:qFormat/>
    <w:uiPriority w:val="0"/>
    <w:pPr>
      <w:wordWrap w:val="0"/>
      <w:ind w:left="1700"/>
      <w:jc w:val="both"/>
    </w:pPr>
    <w:rPr>
      <w:rFonts w:ascii="Calibri" w:hAnsi="Calibri" w:eastAsia="宋体" w:cs="Times New Roman"/>
      <w:sz w:val="21"/>
      <w:lang w:val="en-US" w:eastAsia="zh-CN" w:bidi="ar-SA"/>
    </w:rPr>
  </w:style>
  <w:style w:type="paragraph" w:customStyle="1" w:styleId="250">
    <w:name w:val="toc 912"/>
    <w:next w:val="1"/>
    <w:qFormat/>
    <w:uiPriority w:val="0"/>
    <w:pPr>
      <w:wordWrap w:val="0"/>
      <w:ind w:left="3400"/>
      <w:jc w:val="both"/>
    </w:pPr>
    <w:rPr>
      <w:rFonts w:ascii="Calibri" w:hAnsi="Calibri" w:eastAsia="宋体" w:cs="Times New Roman"/>
      <w:sz w:val="21"/>
      <w:lang w:val="en-US" w:eastAsia="zh-CN" w:bidi="ar-SA"/>
    </w:rPr>
  </w:style>
  <w:style w:type="paragraph" w:customStyle="1" w:styleId="251">
    <w:name w:val="toc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52">
    <w:name w:val="toc 38"/>
    <w:next w:val="1"/>
    <w:qFormat/>
    <w:uiPriority w:val="0"/>
    <w:pPr>
      <w:wordWrap w:val="0"/>
      <w:ind w:left="850"/>
      <w:jc w:val="both"/>
    </w:pPr>
    <w:rPr>
      <w:rFonts w:ascii="Calibri" w:hAnsi="Calibri" w:eastAsia="宋体" w:cs="Times New Roman"/>
      <w:sz w:val="21"/>
      <w:lang w:val="en-US" w:eastAsia="zh-CN" w:bidi="ar-SA"/>
    </w:rPr>
  </w:style>
  <w:style w:type="paragraph" w:customStyle="1" w:styleId="253">
    <w:name w:val="toc 95"/>
    <w:next w:val="1"/>
    <w:qFormat/>
    <w:uiPriority w:val="0"/>
    <w:pPr>
      <w:wordWrap w:val="0"/>
      <w:ind w:left="3400"/>
      <w:jc w:val="both"/>
    </w:pPr>
    <w:rPr>
      <w:rFonts w:ascii="Calibri" w:hAnsi="Calibri" w:eastAsia="宋体" w:cs="Times New Roman"/>
      <w:sz w:val="21"/>
      <w:lang w:val="en-US" w:eastAsia="zh-CN" w:bidi="ar-SA"/>
    </w:rPr>
  </w:style>
  <w:style w:type="paragraph" w:customStyle="1" w:styleId="254">
    <w:name w:val="列出段落5"/>
    <w:basedOn w:val="1"/>
    <w:next w:val="255"/>
    <w:qFormat/>
    <w:uiPriority w:val="0"/>
    <w:pPr>
      <w:ind w:firstLine="420"/>
    </w:pPr>
    <w:rPr>
      <w:rFonts w:hAnsi="Calibri"/>
      <w:kern w:val="0"/>
      <w:szCs w:val="20"/>
    </w:rPr>
  </w:style>
  <w:style w:type="paragraph" w:customStyle="1" w:styleId="255">
    <w:name w:val="toc 312"/>
    <w:next w:val="1"/>
    <w:qFormat/>
    <w:uiPriority w:val="0"/>
    <w:pPr>
      <w:wordWrap w:val="0"/>
      <w:ind w:left="850"/>
      <w:jc w:val="both"/>
    </w:pPr>
    <w:rPr>
      <w:rFonts w:ascii="Calibri" w:hAnsi="Calibri" w:eastAsia="宋体" w:cs="Times New Roman"/>
      <w:sz w:val="21"/>
      <w:lang w:val="en-US" w:eastAsia="zh-CN" w:bidi="ar-SA"/>
    </w:rPr>
  </w:style>
  <w:style w:type="paragraph" w:customStyle="1" w:styleId="256">
    <w:name w:val="xl66"/>
    <w:basedOn w:val="1"/>
    <w:next w:val="257"/>
    <w:qFormat/>
    <w:uiPriority w:val="0"/>
    <w:pPr>
      <w:widowControl/>
      <w:shd w:val="clear" w:color="000000" w:fill="FFFFFF"/>
      <w:spacing w:before="280" w:after="280"/>
    </w:pPr>
    <w:rPr>
      <w:rFonts w:ascii="宋体" w:hAnsi="Calibri"/>
      <w:kern w:val="0"/>
      <w:sz w:val="20"/>
      <w:szCs w:val="20"/>
    </w:rPr>
  </w:style>
  <w:style w:type="paragraph" w:customStyle="1" w:styleId="257">
    <w:name w:val="toc 56"/>
    <w:next w:val="1"/>
    <w:qFormat/>
    <w:uiPriority w:val="0"/>
    <w:pPr>
      <w:wordWrap w:val="0"/>
      <w:ind w:left="1700"/>
      <w:jc w:val="both"/>
    </w:pPr>
    <w:rPr>
      <w:rFonts w:ascii="Calibri" w:hAnsi="Calibri" w:eastAsia="宋体" w:cs="Times New Roman"/>
      <w:sz w:val="21"/>
      <w:lang w:val="en-US" w:eastAsia="zh-CN" w:bidi="ar-SA"/>
    </w:rPr>
  </w:style>
  <w:style w:type="paragraph" w:customStyle="1" w:styleId="258">
    <w:name w:val="TOC Heading3"/>
    <w:next w:val="1"/>
    <w:qFormat/>
    <w:uiPriority w:val="0"/>
    <w:pPr>
      <w:wordWrap w:val="0"/>
    </w:pPr>
    <w:rPr>
      <w:rFonts w:ascii="Calibri" w:hAnsi="Calibri" w:eastAsia="宋体" w:cs="Times New Roman"/>
      <w:sz w:val="32"/>
      <w:lang w:val="en-US" w:eastAsia="zh-CN" w:bidi="ar-SA"/>
    </w:rPr>
  </w:style>
  <w:style w:type="paragraph" w:customStyle="1" w:styleId="259">
    <w:name w:val="toc 65"/>
    <w:next w:val="1"/>
    <w:qFormat/>
    <w:uiPriority w:val="0"/>
    <w:pPr>
      <w:wordWrap w:val="0"/>
      <w:ind w:left="2125"/>
      <w:jc w:val="both"/>
    </w:pPr>
    <w:rPr>
      <w:rFonts w:ascii="Calibri" w:hAnsi="Calibri" w:eastAsia="宋体" w:cs="Times New Roman"/>
      <w:sz w:val="21"/>
      <w:lang w:val="en-US" w:eastAsia="zh-CN" w:bidi="ar-SA"/>
    </w:rPr>
  </w:style>
  <w:style w:type="paragraph" w:customStyle="1" w:styleId="260">
    <w:name w:val="toc 25"/>
    <w:next w:val="1"/>
    <w:qFormat/>
    <w:uiPriority w:val="0"/>
    <w:pPr>
      <w:wordWrap w:val="0"/>
      <w:ind w:left="425"/>
      <w:jc w:val="both"/>
    </w:pPr>
    <w:rPr>
      <w:rFonts w:ascii="Calibri" w:hAnsi="Calibri" w:eastAsia="宋体" w:cs="Times New Roman"/>
      <w:sz w:val="21"/>
      <w:lang w:val="en-US" w:eastAsia="zh-CN" w:bidi="ar-SA"/>
    </w:rPr>
  </w:style>
  <w:style w:type="paragraph" w:customStyle="1" w:styleId="261">
    <w:name w:val="xl84"/>
    <w:basedOn w:val="1"/>
    <w:next w:val="262"/>
    <w:qFormat/>
    <w:uiPriority w:val="0"/>
    <w:pPr>
      <w:widowControl/>
      <w:shd w:val="clear" w:color="000000" w:fill="FFFFFF"/>
      <w:spacing w:before="280" w:after="280"/>
      <w:jc w:val="center"/>
    </w:pPr>
    <w:rPr>
      <w:rFonts w:ascii="宋体" w:hAnsi="Calibri"/>
      <w:kern w:val="0"/>
      <w:sz w:val="20"/>
      <w:szCs w:val="20"/>
    </w:rPr>
  </w:style>
  <w:style w:type="paragraph" w:customStyle="1" w:styleId="262">
    <w:name w:val="toc 99"/>
    <w:next w:val="1"/>
    <w:qFormat/>
    <w:uiPriority w:val="0"/>
    <w:pPr>
      <w:wordWrap w:val="0"/>
      <w:ind w:left="3400"/>
      <w:jc w:val="both"/>
    </w:pPr>
    <w:rPr>
      <w:rFonts w:ascii="Calibri" w:hAnsi="Calibri" w:eastAsia="宋体" w:cs="Times New Roman"/>
      <w:sz w:val="21"/>
      <w:lang w:val="en-US" w:eastAsia="zh-CN" w:bidi="ar-SA"/>
    </w:rPr>
  </w:style>
  <w:style w:type="paragraph" w:customStyle="1" w:styleId="263">
    <w:name w:val="xl81"/>
    <w:basedOn w:val="1"/>
    <w:next w:val="264"/>
    <w:qFormat/>
    <w:uiPriority w:val="0"/>
    <w:pPr>
      <w:widowControl/>
      <w:shd w:val="clear" w:color="000000" w:fill="FFFFFF"/>
      <w:spacing w:before="280" w:after="280"/>
    </w:pPr>
    <w:rPr>
      <w:rFonts w:ascii="宋体" w:hAnsi="Calibri"/>
      <w:kern w:val="0"/>
      <w:sz w:val="20"/>
      <w:szCs w:val="20"/>
    </w:rPr>
  </w:style>
  <w:style w:type="paragraph" w:customStyle="1" w:styleId="264">
    <w:name w:val="toc 59"/>
    <w:next w:val="1"/>
    <w:qFormat/>
    <w:uiPriority w:val="0"/>
    <w:pPr>
      <w:wordWrap w:val="0"/>
      <w:ind w:left="1700"/>
      <w:jc w:val="both"/>
    </w:pPr>
    <w:rPr>
      <w:rFonts w:ascii="Calibri" w:hAnsi="Calibri" w:eastAsia="宋体" w:cs="Times New Roman"/>
      <w:sz w:val="21"/>
      <w:lang w:val="en-US" w:eastAsia="zh-CN" w:bidi="ar-SA"/>
    </w:rPr>
  </w:style>
  <w:style w:type="paragraph" w:customStyle="1" w:styleId="265">
    <w:name w:val="目录 11"/>
    <w:next w:val="1"/>
    <w:qFormat/>
    <w:uiPriority w:val="0"/>
    <w:pPr>
      <w:wordWrap w:val="0"/>
      <w:jc w:val="both"/>
    </w:pPr>
    <w:rPr>
      <w:rFonts w:ascii="Calibri" w:hAnsi="Calibri" w:eastAsia="宋体" w:cs="Times New Roman"/>
      <w:sz w:val="21"/>
      <w:lang w:val="en-US" w:eastAsia="zh-CN" w:bidi="ar-SA"/>
    </w:rPr>
  </w:style>
  <w:style w:type="paragraph" w:customStyle="1" w:styleId="266">
    <w:name w:val="toc 513"/>
    <w:next w:val="1"/>
    <w:qFormat/>
    <w:uiPriority w:val="0"/>
    <w:pPr>
      <w:wordWrap w:val="0"/>
      <w:ind w:left="1700"/>
      <w:jc w:val="both"/>
    </w:pPr>
    <w:rPr>
      <w:rFonts w:ascii="Calibri" w:hAnsi="Calibri" w:eastAsia="宋体" w:cs="Times New Roman"/>
      <w:sz w:val="21"/>
      <w:lang w:val="en-US" w:eastAsia="zh-CN" w:bidi="ar-SA"/>
    </w:rPr>
  </w:style>
  <w:style w:type="paragraph" w:customStyle="1" w:styleId="267">
    <w:name w:val="TOC Heading12"/>
    <w:next w:val="1"/>
    <w:qFormat/>
    <w:uiPriority w:val="0"/>
    <w:pPr>
      <w:wordWrap w:val="0"/>
    </w:pPr>
    <w:rPr>
      <w:rFonts w:ascii="Calibri" w:hAnsi="Calibri" w:eastAsia="宋体" w:cs="Times New Roman"/>
      <w:sz w:val="32"/>
      <w:lang w:val="en-US" w:eastAsia="zh-CN" w:bidi="ar-SA"/>
    </w:rPr>
  </w:style>
  <w:style w:type="paragraph" w:customStyle="1" w:styleId="268">
    <w:name w:val="TOC Heading8"/>
    <w:next w:val="1"/>
    <w:qFormat/>
    <w:uiPriority w:val="0"/>
    <w:pPr>
      <w:wordWrap w:val="0"/>
    </w:pPr>
    <w:rPr>
      <w:rFonts w:ascii="Calibri" w:hAnsi="Calibri" w:eastAsia="宋体" w:cs="Times New Roman"/>
      <w:sz w:val="32"/>
      <w:lang w:val="en-US" w:eastAsia="zh-CN" w:bidi="ar-SA"/>
    </w:rPr>
  </w:style>
  <w:style w:type="paragraph" w:customStyle="1" w:styleId="269">
    <w:name w:val="toc 711"/>
    <w:next w:val="1"/>
    <w:qFormat/>
    <w:uiPriority w:val="0"/>
    <w:pPr>
      <w:wordWrap w:val="0"/>
      <w:ind w:left="2550"/>
      <w:jc w:val="both"/>
    </w:pPr>
    <w:rPr>
      <w:rFonts w:ascii="Calibri" w:hAnsi="Calibri" w:eastAsia="宋体" w:cs="Times New Roman"/>
      <w:sz w:val="21"/>
      <w:lang w:val="en-US" w:eastAsia="zh-CN" w:bidi="ar-SA"/>
    </w:rPr>
  </w:style>
  <w:style w:type="paragraph" w:customStyle="1" w:styleId="270">
    <w:name w:val="toc 212"/>
    <w:next w:val="1"/>
    <w:qFormat/>
    <w:uiPriority w:val="0"/>
    <w:pPr>
      <w:wordWrap w:val="0"/>
      <w:ind w:left="425"/>
      <w:jc w:val="both"/>
    </w:pPr>
    <w:rPr>
      <w:rFonts w:ascii="Calibri" w:hAnsi="Calibri" w:eastAsia="宋体" w:cs="Times New Roman"/>
      <w:sz w:val="21"/>
      <w:lang w:val="en-US" w:eastAsia="zh-CN" w:bidi="ar-SA"/>
    </w:rPr>
  </w:style>
  <w:style w:type="paragraph" w:customStyle="1" w:styleId="271">
    <w:name w:val="目录 21"/>
    <w:next w:val="1"/>
    <w:qFormat/>
    <w:uiPriority w:val="0"/>
    <w:pPr>
      <w:wordWrap w:val="0"/>
      <w:ind w:left="425"/>
      <w:jc w:val="both"/>
    </w:pPr>
    <w:rPr>
      <w:rFonts w:ascii="Calibri" w:hAnsi="Calibri" w:eastAsia="宋体" w:cs="Times New Roman"/>
      <w:sz w:val="21"/>
      <w:lang w:val="en-US" w:eastAsia="zh-CN" w:bidi="ar-SA"/>
    </w:rPr>
  </w:style>
  <w:style w:type="paragraph" w:customStyle="1" w:styleId="272">
    <w:name w:val="toc 45"/>
    <w:next w:val="1"/>
    <w:qFormat/>
    <w:uiPriority w:val="0"/>
    <w:pPr>
      <w:wordWrap w:val="0"/>
      <w:ind w:left="1275"/>
      <w:jc w:val="both"/>
    </w:pPr>
    <w:rPr>
      <w:rFonts w:ascii="Calibri" w:hAnsi="Calibri" w:eastAsia="宋体" w:cs="Times New Roman"/>
      <w:sz w:val="21"/>
      <w:lang w:val="en-US" w:eastAsia="zh-CN" w:bidi="ar-SA"/>
    </w:rPr>
  </w:style>
  <w:style w:type="paragraph" w:customStyle="1" w:styleId="273">
    <w:name w:val="xl116"/>
    <w:basedOn w:val="1"/>
    <w:next w:val="274"/>
    <w:qFormat/>
    <w:uiPriority w:val="0"/>
    <w:pPr>
      <w:widowControl/>
      <w:shd w:val="clear" w:color="000000" w:fill="FFFFFF"/>
      <w:spacing w:before="280" w:after="280"/>
      <w:jc w:val="center"/>
    </w:pPr>
    <w:rPr>
      <w:rFonts w:ascii="Arial Narrow" w:hAnsi="Calibri"/>
      <w:kern w:val="0"/>
      <w:sz w:val="20"/>
      <w:szCs w:val="20"/>
    </w:rPr>
  </w:style>
  <w:style w:type="paragraph" w:customStyle="1" w:styleId="274">
    <w:name w:val="toc 78"/>
    <w:next w:val="1"/>
    <w:qFormat/>
    <w:uiPriority w:val="0"/>
    <w:pPr>
      <w:wordWrap w:val="0"/>
      <w:ind w:left="2550"/>
      <w:jc w:val="both"/>
    </w:pPr>
    <w:rPr>
      <w:rFonts w:ascii="Calibri" w:hAnsi="Calibri" w:eastAsia="宋体" w:cs="Times New Roman"/>
      <w:sz w:val="21"/>
      <w:lang w:val="en-US" w:eastAsia="zh-CN" w:bidi="ar-SA"/>
    </w:rPr>
  </w:style>
  <w:style w:type="paragraph" w:customStyle="1" w:styleId="275">
    <w:name w:val="font8"/>
    <w:basedOn w:val="1"/>
    <w:next w:val="276"/>
    <w:qFormat/>
    <w:uiPriority w:val="0"/>
    <w:pPr>
      <w:widowControl/>
      <w:spacing w:before="280" w:after="280"/>
    </w:pPr>
    <w:rPr>
      <w:rFonts w:ascii="Arial" w:hAnsi="Calibri"/>
      <w:kern w:val="0"/>
      <w:sz w:val="20"/>
      <w:szCs w:val="20"/>
    </w:rPr>
  </w:style>
  <w:style w:type="paragraph" w:customStyle="1" w:styleId="276">
    <w:name w:val="TOC Heading11"/>
    <w:next w:val="1"/>
    <w:qFormat/>
    <w:uiPriority w:val="0"/>
    <w:pPr>
      <w:wordWrap w:val="0"/>
    </w:pPr>
    <w:rPr>
      <w:rFonts w:ascii="Calibri" w:hAnsi="Calibri" w:eastAsia="宋体" w:cs="Times New Roman"/>
      <w:sz w:val="32"/>
      <w:lang w:val="en-US" w:eastAsia="zh-CN" w:bidi="ar-SA"/>
    </w:rPr>
  </w:style>
  <w:style w:type="paragraph" w:customStyle="1" w:styleId="277">
    <w:name w:val="xl69"/>
    <w:basedOn w:val="1"/>
    <w:next w:val="278"/>
    <w:qFormat/>
    <w:uiPriority w:val="0"/>
    <w:pPr>
      <w:widowControl/>
      <w:shd w:val="clear" w:color="000000" w:fill="FFFFFF"/>
      <w:spacing w:before="280" w:after="280"/>
    </w:pPr>
    <w:rPr>
      <w:rFonts w:ascii="宋体" w:hAnsi="Calibri"/>
      <w:b/>
      <w:kern w:val="0"/>
      <w:sz w:val="20"/>
      <w:szCs w:val="20"/>
    </w:rPr>
  </w:style>
  <w:style w:type="paragraph" w:customStyle="1" w:styleId="278">
    <w:name w:val="toc 48"/>
    <w:next w:val="1"/>
    <w:qFormat/>
    <w:uiPriority w:val="0"/>
    <w:pPr>
      <w:wordWrap w:val="0"/>
      <w:ind w:left="1275"/>
      <w:jc w:val="both"/>
    </w:pPr>
    <w:rPr>
      <w:rFonts w:ascii="Calibri" w:hAnsi="Calibri" w:eastAsia="宋体" w:cs="Times New Roman"/>
      <w:sz w:val="21"/>
      <w:lang w:val="en-US" w:eastAsia="zh-CN" w:bidi="ar-SA"/>
    </w:rPr>
  </w:style>
  <w:style w:type="paragraph" w:customStyle="1" w:styleId="279">
    <w:name w:val="toc 813"/>
    <w:next w:val="1"/>
    <w:qFormat/>
    <w:uiPriority w:val="0"/>
    <w:pPr>
      <w:wordWrap w:val="0"/>
      <w:ind w:left="2975"/>
      <w:jc w:val="both"/>
    </w:pPr>
    <w:rPr>
      <w:rFonts w:ascii="Calibri" w:hAnsi="Calibri" w:eastAsia="宋体" w:cs="Times New Roman"/>
      <w:sz w:val="21"/>
      <w:lang w:val="en-US" w:eastAsia="zh-CN" w:bidi="ar-SA"/>
    </w:rPr>
  </w:style>
  <w:style w:type="paragraph" w:customStyle="1" w:styleId="280">
    <w:name w:val="目录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81">
    <w:name w:val="列出段落3"/>
    <w:basedOn w:val="1"/>
    <w:next w:val="282"/>
    <w:qFormat/>
    <w:uiPriority w:val="0"/>
    <w:pPr>
      <w:ind w:firstLine="420"/>
    </w:pPr>
    <w:rPr>
      <w:rFonts w:hAnsi="Calibri"/>
      <w:kern w:val="0"/>
      <w:szCs w:val="20"/>
    </w:rPr>
  </w:style>
  <w:style w:type="paragraph" w:customStyle="1" w:styleId="282">
    <w:name w:val="toc 213"/>
    <w:next w:val="1"/>
    <w:qFormat/>
    <w:uiPriority w:val="0"/>
    <w:pPr>
      <w:wordWrap w:val="0"/>
      <w:ind w:left="425"/>
      <w:jc w:val="both"/>
    </w:pPr>
    <w:rPr>
      <w:rFonts w:ascii="Calibri" w:hAnsi="Calibri" w:eastAsia="宋体" w:cs="Times New Roman"/>
      <w:sz w:val="21"/>
      <w:lang w:val="en-US" w:eastAsia="zh-CN" w:bidi="ar-SA"/>
    </w:rPr>
  </w:style>
  <w:style w:type="paragraph" w:customStyle="1" w:styleId="283">
    <w:name w:val="TOC 标题1"/>
    <w:next w:val="1"/>
    <w:qFormat/>
    <w:uiPriority w:val="0"/>
    <w:pPr>
      <w:wordWrap w:val="0"/>
    </w:pPr>
    <w:rPr>
      <w:rFonts w:ascii="Calibri" w:hAnsi="Calibri" w:eastAsia="宋体" w:cs="Times New Roman"/>
      <w:sz w:val="32"/>
      <w:lang w:val="en-US" w:eastAsia="zh-CN" w:bidi="ar-SA"/>
    </w:rPr>
  </w:style>
  <w:style w:type="paragraph" w:customStyle="1" w:styleId="284">
    <w:name w:val="TOC Heading5"/>
    <w:next w:val="1"/>
    <w:qFormat/>
    <w:uiPriority w:val="0"/>
    <w:pPr>
      <w:wordWrap w:val="0"/>
    </w:pPr>
    <w:rPr>
      <w:rFonts w:ascii="Calibri" w:hAnsi="Calibri" w:eastAsia="宋体" w:cs="Times New Roman"/>
      <w:sz w:val="32"/>
      <w:lang w:val="en-US" w:eastAsia="zh-CN" w:bidi="ar-SA"/>
    </w:rPr>
  </w:style>
  <w:style w:type="paragraph" w:customStyle="1" w:styleId="285">
    <w:name w:val="toc 313"/>
    <w:next w:val="1"/>
    <w:qFormat/>
    <w:uiPriority w:val="0"/>
    <w:pPr>
      <w:wordWrap w:val="0"/>
      <w:ind w:left="850"/>
      <w:jc w:val="both"/>
    </w:pPr>
    <w:rPr>
      <w:rFonts w:ascii="Calibri" w:hAnsi="Calibri" w:eastAsia="宋体" w:cs="Times New Roman"/>
      <w:sz w:val="21"/>
      <w:lang w:val="en-US" w:eastAsia="zh-CN" w:bidi="ar-SA"/>
    </w:rPr>
  </w:style>
  <w:style w:type="paragraph" w:customStyle="1" w:styleId="286">
    <w:name w:val="toc 716"/>
    <w:next w:val="1"/>
    <w:qFormat/>
    <w:uiPriority w:val="0"/>
    <w:pPr>
      <w:wordWrap w:val="0"/>
      <w:ind w:left="2550"/>
      <w:jc w:val="both"/>
    </w:pPr>
    <w:rPr>
      <w:rFonts w:ascii="Calibri" w:hAnsi="Calibri" w:eastAsia="宋体" w:cs="Times New Roman"/>
      <w:sz w:val="21"/>
      <w:lang w:val="en-US" w:eastAsia="zh-CN" w:bidi="ar-SA"/>
    </w:rPr>
  </w:style>
  <w:style w:type="paragraph" w:customStyle="1" w:styleId="287">
    <w:name w:val="xl115"/>
    <w:basedOn w:val="1"/>
    <w:next w:val="288"/>
    <w:qFormat/>
    <w:uiPriority w:val="0"/>
    <w:pPr>
      <w:widowControl/>
      <w:shd w:val="clear" w:color="000000" w:fill="FFFFFF"/>
      <w:spacing w:before="280" w:after="280"/>
      <w:jc w:val="center"/>
    </w:pPr>
    <w:rPr>
      <w:rFonts w:ascii="宋体" w:hAnsi="Calibri"/>
      <w:b/>
      <w:kern w:val="0"/>
      <w:sz w:val="20"/>
      <w:szCs w:val="20"/>
    </w:rPr>
  </w:style>
  <w:style w:type="paragraph" w:customStyle="1" w:styleId="288">
    <w:name w:val="toc 712"/>
    <w:next w:val="1"/>
    <w:qFormat/>
    <w:uiPriority w:val="0"/>
    <w:pPr>
      <w:wordWrap w:val="0"/>
      <w:ind w:left="2550"/>
      <w:jc w:val="both"/>
    </w:pPr>
    <w:rPr>
      <w:rFonts w:ascii="Calibri" w:hAnsi="Calibri" w:eastAsia="宋体" w:cs="Times New Roman"/>
      <w:sz w:val="21"/>
      <w:lang w:val="en-US" w:eastAsia="zh-CN" w:bidi="ar-SA"/>
    </w:rPr>
  </w:style>
  <w:style w:type="paragraph" w:customStyle="1" w:styleId="289">
    <w:name w:val="toc 64"/>
    <w:next w:val="1"/>
    <w:qFormat/>
    <w:uiPriority w:val="0"/>
    <w:pPr>
      <w:wordWrap w:val="0"/>
      <w:ind w:left="2125"/>
      <w:jc w:val="both"/>
    </w:pPr>
    <w:rPr>
      <w:rFonts w:ascii="Calibri" w:hAnsi="Calibri" w:eastAsia="宋体" w:cs="Times New Roman"/>
      <w:sz w:val="21"/>
      <w:lang w:val="en-US" w:eastAsia="zh-CN" w:bidi="ar-SA"/>
    </w:rPr>
  </w:style>
  <w:style w:type="paragraph" w:customStyle="1" w:styleId="290">
    <w:name w:val="toc 24"/>
    <w:next w:val="1"/>
    <w:qFormat/>
    <w:uiPriority w:val="0"/>
    <w:pPr>
      <w:wordWrap w:val="0"/>
      <w:ind w:left="425"/>
      <w:jc w:val="both"/>
    </w:pPr>
    <w:rPr>
      <w:rFonts w:ascii="Calibri" w:hAnsi="Calibri" w:eastAsia="宋体" w:cs="Times New Roman"/>
      <w:sz w:val="21"/>
      <w:lang w:val="en-US" w:eastAsia="zh-CN" w:bidi="ar-SA"/>
    </w:rPr>
  </w:style>
  <w:style w:type="paragraph" w:customStyle="1" w:styleId="291">
    <w:name w:val="toc 54"/>
    <w:next w:val="1"/>
    <w:qFormat/>
    <w:uiPriority w:val="0"/>
    <w:pPr>
      <w:wordWrap w:val="0"/>
      <w:ind w:left="1700"/>
      <w:jc w:val="both"/>
    </w:pPr>
    <w:rPr>
      <w:rFonts w:ascii="Calibri" w:hAnsi="Calibri" w:eastAsia="宋体" w:cs="Times New Roman"/>
      <w:sz w:val="21"/>
      <w:lang w:val="en-US" w:eastAsia="zh-CN" w:bidi="ar-SA"/>
    </w:rPr>
  </w:style>
  <w:style w:type="paragraph" w:customStyle="1" w:styleId="292">
    <w:name w:val="xl93"/>
    <w:basedOn w:val="1"/>
    <w:next w:val="293"/>
    <w:qFormat/>
    <w:uiPriority w:val="0"/>
    <w:pPr>
      <w:widowControl/>
      <w:shd w:val="clear" w:color="000000" w:fill="FFFFFF"/>
      <w:spacing w:before="280" w:after="280"/>
      <w:jc w:val="center"/>
    </w:pPr>
    <w:rPr>
      <w:rFonts w:ascii="宋体" w:hAnsi="Calibri"/>
      <w:kern w:val="0"/>
      <w:sz w:val="20"/>
      <w:szCs w:val="20"/>
    </w:rPr>
  </w:style>
  <w:style w:type="paragraph" w:customStyle="1" w:styleId="293">
    <w:name w:val="toc 112"/>
    <w:next w:val="1"/>
    <w:qFormat/>
    <w:uiPriority w:val="0"/>
    <w:pPr>
      <w:wordWrap w:val="0"/>
      <w:jc w:val="both"/>
    </w:pPr>
    <w:rPr>
      <w:rFonts w:ascii="Calibri" w:hAnsi="Calibri" w:eastAsia="宋体" w:cs="Times New Roman"/>
      <w:sz w:val="21"/>
      <w:lang w:val="en-US" w:eastAsia="zh-CN" w:bidi="ar-SA"/>
    </w:rPr>
  </w:style>
  <w:style w:type="paragraph" w:customStyle="1" w:styleId="294">
    <w:name w:val="xl96"/>
    <w:basedOn w:val="1"/>
    <w:next w:val="245"/>
    <w:qFormat/>
    <w:uiPriority w:val="0"/>
    <w:pPr>
      <w:widowControl/>
      <w:shd w:val="clear" w:color="000000" w:fill="FFFFFF"/>
      <w:spacing w:before="280" w:after="280"/>
      <w:jc w:val="center"/>
    </w:pPr>
    <w:rPr>
      <w:rFonts w:ascii="宋体" w:hAnsi="Calibri"/>
      <w:kern w:val="0"/>
      <w:sz w:val="20"/>
      <w:szCs w:val="20"/>
    </w:rPr>
  </w:style>
  <w:style w:type="paragraph" w:customStyle="1" w:styleId="295">
    <w:name w:val="xl106"/>
    <w:basedOn w:val="1"/>
    <w:next w:val="279"/>
    <w:qFormat/>
    <w:uiPriority w:val="0"/>
    <w:pPr>
      <w:widowControl/>
      <w:shd w:val="clear" w:color="000000" w:fill="FFFFFF"/>
      <w:spacing w:before="280" w:after="280"/>
    </w:pPr>
    <w:rPr>
      <w:rFonts w:ascii="宋体" w:hAnsi="Calibri"/>
      <w:kern w:val="0"/>
      <w:sz w:val="20"/>
      <w:szCs w:val="20"/>
    </w:rPr>
  </w:style>
  <w:style w:type="paragraph" w:customStyle="1" w:styleId="296">
    <w:name w:val="toc 35"/>
    <w:next w:val="1"/>
    <w:qFormat/>
    <w:uiPriority w:val="0"/>
    <w:pPr>
      <w:wordWrap w:val="0"/>
      <w:ind w:left="850"/>
      <w:jc w:val="both"/>
    </w:pPr>
    <w:rPr>
      <w:rFonts w:ascii="Calibri" w:hAnsi="Calibri" w:eastAsia="宋体" w:cs="Times New Roman"/>
      <w:sz w:val="21"/>
      <w:lang w:val="en-US" w:eastAsia="zh-CN" w:bidi="ar-SA"/>
    </w:rPr>
  </w:style>
  <w:style w:type="paragraph" w:customStyle="1" w:styleId="297">
    <w:name w:val="TOC Heading14"/>
    <w:next w:val="1"/>
    <w:qFormat/>
    <w:uiPriority w:val="0"/>
    <w:pPr>
      <w:wordWrap w:val="0"/>
    </w:pPr>
    <w:rPr>
      <w:rFonts w:ascii="Calibri" w:hAnsi="Calibri" w:eastAsia="宋体" w:cs="Times New Roman"/>
      <w:sz w:val="32"/>
      <w:lang w:val="en-US" w:eastAsia="zh-CN" w:bidi="ar-SA"/>
    </w:rPr>
  </w:style>
  <w:style w:type="paragraph" w:customStyle="1" w:styleId="298">
    <w:name w:val="Char Char Char Char Char Char Char1"/>
    <w:basedOn w:val="1"/>
    <w:next w:val="299"/>
    <w:qFormat/>
    <w:uiPriority w:val="0"/>
    <w:pPr>
      <w:widowControl/>
      <w:spacing w:after="160" w:line="240" w:lineRule="exact"/>
    </w:pPr>
    <w:rPr>
      <w:rFonts w:hAnsi="Calibri"/>
      <w:kern w:val="0"/>
      <w:szCs w:val="20"/>
    </w:rPr>
  </w:style>
  <w:style w:type="paragraph" w:customStyle="1" w:styleId="299">
    <w:name w:val="toc 67"/>
    <w:next w:val="1"/>
    <w:qFormat/>
    <w:uiPriority w:val="0"/>
    <w:pPr>
      <w:wordWrap w:val="0"/>
      <w:ind w:left="2125"/>
      <w:jc w:val="both"/>
    </w:pPr>
    <w:rPr>
      <w:rFonts w:ascii="Calibri" w:hAnsi="Calibri" w:eastAsia="宋体" w:cs="Times New Roman"/>
      <w:sz w:val="21"/>
      <w:lang w:val="en-US" w:eastAsia="zh-CN" w:bidi="ar-SA"/>
    </w:rPr>
  </w:style>
  <w:style w:type="paragraph" w:customStyle="1" w:styleId="300">
    <w:name w:val="列出段落4"/>
    <w:basedOn w:val="1"/>
    <w:next w:val="301"/>
    <w:qFormat/>
    <w:uiPriority w:val="0"/>
    <w:pPr>
      <w:ind w:firstLine="420"/>
    </w:pPr>
    <w:rPr>
      <w:rFonts w:hAnsi="Calibri"/>
      <w:kern w:val="0"/>
      <w:szCs w:val="20"/>
    </w:rPr>
  </w:style>
  <w:style w:type="paragraph" w:customStyle="1" w:styleId="301">
    <w:name w:val="TOC Heading9"/>
    <w:next w:val="1"/>
    <w:qFormat/>
    <w:uiPriority w:val="0"/>
    <w:pPr>
      <w:wordWrap w:val="0"/>
    </w:pPr>
    <w:rPr>
      <w:rFonts w:ascii="Calibri" w:hAnsi="Calibri" w:eastAsia="宋体" w:cs="Times New Roman"/>
      <w:sz w:val="32"/>
      <w:lang w:val="en-US" w:eastAsia="zh-CN" w:bidi="ar-SA"/>
    </w:rPr>
  </w:style>
  <w:style w:type="paragraph" w:customStyle="1" w:styleId="302">
    <w:name w:val="xl71"/>
    <w:basedOn w:val="1"/>
    <w:next w:val="303"/>
    <w:qFormat/>
    <w:uiPriority w:val="0"/>
    <w:pPr>
      <w:widowControl/>
      <w:shd w:val="clear" w:color="000000" w:fill="FFFFFF"/>
      <w:spacing w:before="280" w:after="280"/>
    </w:pPr>
    <w:rPr>
      <w:rFonts w:ascii="宋体" w:hAnsi="Calibri"/>
      <w:kern w:val="0"/>
      <w:sz w:val="24"/>
      <w:szCs w:val="20"/>
    </w:rPr>
  </w:style>
  <w:style w:type="paragraph" w:customStyle="1" w:styleId="303">
    <w:name w:val="toc 115"/>
    <w:next w:val="1"/>
    <w:qFormat/>
    <w:uiPriority w:val="0"/>
    <w:pPr>
      <w:wordWrap w:val="0"/>
      <w:jc w:val="both"/>
    </w:pPr>
    <w:rPr>
      <w:rFonts w:ascii="Calibri" w:hAnsi="Calibri" w:eastAsia="宋体" w:cs="Times New Roman"/>
      <w:sz w:val="21"/>
      <w:lang w:val="en-US" w:eastAsia="zh-CN" w:bidi="ar-SA"/>
    </w:rPr>
  </w:style>
  <w:style w:type="paragraph" w:customStyle="1" w:styleId="304">
    <w:name w:val="toc 51"/>
    <w:next w:val="1"/>
    <w:qFormat/>
    <w:uiPriority w:val="0"/>
    <w:pPr>
      <w:wordWrap w:val="0"/>
      <w:ind w:left="1700"/>
      <w:jc w:val="both"/>
    </w:pPr>
    <w:rPr>
      <w:rFonts w:ascii="Calibri" w:hAnsi="Calibri" w:eastAsia="宋体" w:cs="Times New Roman"/>
      <w:sz w:val="21"/>
      <w:lang w:val="en-US" w:eastAsia="zh-CN" w:bidi="ar-SA"/>
    </w:rPr>
  </w:style>
  <w:style w:type="paragraph" w:customStyle="1" w:styleId="305">
    <w:name w:val="toc 47"/>
    <w:next w:val="1"/>
    <w:qFormat/>
    <w:uiPriority w:val="0"/>
    <w:pPr>
      <w:wordWrap w:val="0"/>
      <w:ind w:left="1275"/>
      <w:jc w:val="both"/>
    </w:pPr>
    <w:rPr>
      <w:rFonts w:ascii="Calibri" w:hAnsi="Calibri" w:eastAsia="宋体" w:cs="Times New Roman"/>
      <w:sz w:val="21"/>
      <w:lang w:val="en-US" w:eastAsia="zh-CN" w:bidi="ar-SA"/>
    </w:rPr>
  </w:style>
  <w:style w:type="paragraph" w:customStyle="1" w:styleId="306">
    <w:name w:val="xl108"/>
    <w:basedOn w:val="1"/>
    <w:next w:val="307"/>
    <w:qFormat/>
    <w:uiPriority w:val="0"/>
    <w:pPr>
      <w:widowControl/>
      <w:shd w:val="clear" w:color="000000" w:fill="FFFFFF"/>
      <w:spacing w:before="280" w:after="280"/>
    </w:pPr>
    <w:rPr>
      <w:rFonts w:ascii="宋体" w:hAnsi="Calibri"/>
      <w:kern w:val="0"/>
      <w:sz w:val="18"/>
      <w:szCs w:val="20"/>
    </w:rPr>
  </w:style>
  <w:style w:type="paragraph" w:customStyle="1" w:styleId="307">
    <w:name w:val="toc 18"/>
    <w:next w:val="1"/>
    <w:qFormat/>
    <w:uiPriority w:val="0"/>
    <w:pPr>
      <w:wordWrap w:val="0"/>
      <w:jc w:val="both"/>
    </w:pPr>
    <w:rPr>
      <w:rFonts w:ascii="Calibri" w:hAnsi="Calibri" w:eastAsia="宋体" w:cs="Times New Roman"/>
      <w:sz w:val="21"/>
      <w:lang w:val="en-US" w:eastAsia="zh-CN" w:bidi="ar-SA"/>
    </w:rPr>
  </w:style>
  <w:style w:type="paragraph" w:customStyle="1" w:styleId="308">
    <w:name w:val="TOC Heading7"/>
    <w:next w:val="1"/>
    <w:qFormat/>
    <w:uiPriority w:val="0"/>
    <w:pPr>
      <w:wordWrap w:val="0"/>
    </w:pPr>
    <w:rPr>
      <w:rFonts w:ascii="Calibri" w:hAnsi="Calibri" w:eastAsia="宋体" w:cs="Times New Roman"/>
      <w:sz w:val="32"/>
      <w:lang w:val="en-US" w:eastAsia="zh-CN" w:bidi="ar-SA"/>
    </w:rPr>
  </w:style>
  <w:style w:type="character" w:customStyle="1" w:styleId="309">
    <w:name w:val="副标题 Char"/>
    <w:basedOn w:val="46"/>
    <w:link w:val="31"/>
    <w:qFormat/>
    <w:uiPriority w:val="0"/>
    <w:rPr>
      <w:rFonts w:ascii="Calibri" w:hAnsi="Calibri"/>
      <w:sz w:val="24"/>
    </w:rPr>
  </w:style>
  <w:style w:type="paragraph" w:customStyle="1" w:styleId="310">
    <w:name w:val="目录 71"/>
    <w:next w:val="1"/>
    <w:qFormat/>
    <w:uiPriority w:val="0"/>
    <w:pPr>
      <w:wordWrap w:val="0"/>
      <w:ind w:left="2550"/>
      <w:jc w:val="both"/>
    </w:pPr>
    <w:rPr>
      <w:rFonts w:ascii="Calibri" w:hAnsi="Calibri" w:eastAsia="宋体" w:cs="Times New Roman"/>
      <w:sz w:val="21"/>
      <w:lang w:val="en-US" w:eastAsia="zh-CN" w:bidi="ar-SA"/>
    </w:rPr>
  </w:style>
  <w:style w:type="paragraph" w:customStyle="1" w:styleId="311">
    <w:name w:val="toc 413"/>
    <w:next w:val="1"/>
    <w:qFormat/>
    <w:uiPriority w:val="0"/>
    <w:pPr>
      <w:wordWrap w:val="0"/>
      <w:ind w:left="1275"/>
      <w:jc w:val="both"/>
    </w:pPr>
    <w:rPr>
      <w:rFonts w:ascii="Calibri" w:hAnsi="Calibri" w:eastAsia="宋体" w:cs="Times New Roman"/>
      <w:sz w:val="21"/>
      <w:lang w:val="en-US" w:eastAsia="zh-CN" w:bidi="ar-SA"/>
    </w:rPr>
  </w:style>
  <w:style w:type="paragraph" w:customStyle="1" w:styleId="312">
    <w:name w:val="toc 85"/>
    <w:next w:val="1"/>
    <w:qFormat/>
    <w:uiPriority w:val="0"/>
    <w:pPr>
      <w:wordWrap w:val="0"/>
      <w:ind w:left="2975"/>
      <w:jc w:val="both"/>
    </w:pPr>
    <w:rPr>
      <w:rFonts w:ascii="Calibri" w:hAnsi="Calibri" w:eastAsia="宋体" w:cs="Times New Roman"/>
      <w:sz w:val="21"/>
      <w:lang w:val="en-US" w:eastAsia="zh-CN" w:bidi="ar-SA"/>
    </w:rPr>
  </w:style>
  <w:style w:type="paragraph" w:customStyle="1" w:styleId="313">
    <w:name w:val="列出段落6"/>
    <w:basedOn w:val="1"/>
    <w:next w:val="314"/>
    <w:qFormat/>
    <w:uiPriority w:val="0"/>
    <w:pPr>
      <w:ind w:firstLine="420"/>
    </w:pPr>
    <w:rPr>
      <w:rFonts w:hAnsi="Calibri"/>
      <w:kern w:val="0"/>
      <w:szCs w:val="20"/>
    </w:rPr>
  </w:style>
  <w:style w:type="paragraph" w:customStyle="1" w:styleId="314">
    <w:name w:val="toc 86"/>
    <w:next w:val="1"/>
    <w:qFormat/>
    <w:uiPriority w:val="0"/>
    <w:pPr>
      <w:wordWrap w:val="0"/>
      <w:ind w:left="2975"/>
      <w:jc w:val="both"/>
    </w:pPr>
    <w:rPr>
      <w:rFonts w:ascii="Calibri" w:hAnsi="Calibri" w:eastAsia="宋体" w:cs="Times New Roman"/>
      <w:sz w:val="21"/>
      <w:lang w:val="en-US" w:eastAsia="zh-CN" w:bidi="ar-SA"/>
    </w:rPr>
  </w:style>
  <w:style w:type="paragraph" w:customStyle="1" w:styleId="315">
    <w:name w:val="xl80"/>
    <w:basedOn w:val="1"/>
    <w:next w:val="316"/>
    <w:qFormat/>
    <w:uiPriority w:val="0"/>
    <w:pPr>
      <w:widowControl/>
      <w:shd w:val="clear" w:color="000000" w:fill="FFFFFF"/>
      <w:spacing w:before="280" w:after="280"/>
      <w:jc w:val="center"/>
    </w:pPr>
    <w:rPr>
      <w:rFonts w:ascii="宋体" w:hAnsi="Calibri"/>
      <w:b/>
      <w:kern w:val="0"/>
      <w:sz w:val="20"/>
      <w:szCs w:val="20"/>
    </w:rPr>
  </w:style>
  <w:style w:type="paragraph" w:customStyle="1" w:styleId="316">
    <w:name w:val="toc 49"/>
    <w:next w:val="1"/>
    <w:qFormat/>
    <w:uiPriority w:val="0"/>
    <w:pPr>
      <w:wordWrap w:val="0"/>
      <w:ind w:left="1275"/>
      <w:jc w:val="both"/>
    </w:pPr>
    <w:rPr>
      <w:rFonts w:ascii="Calibri" w:hAnsi="Calibri" w:eastAsia="宋体" w:cs="Times New Roman"/>
      <w:sz w:val="21"/>
      <w:lang w:val="en-US" w:eastAsia="zh-CN" w:bidi="ar-SA"/>
    </w:rPr>
  </w:style>
  <w:style w:type="paragraph" w:customStyle="1" w:styleId="317">
    <w:name w:val="Char Char Char Char1"/>
    <w:basedOn w:val="1"/>
    <w:next w:val="318"/>
    <w:qFormat/>
    <w:uiPriority w:val="0"/>
    <w:pPr>
      <w:widowControl/>
      <w:spacing w:after="160" w:line="240" w:lineRule="exact"/>
    </w:pPr>
    <w:rPr>
      <w:rFonts w:ascii="Verdana" w:hAnsi="Calibri" w:eastAsia="仿宋_GB2312"/>
      <w:kern w:val="0"/>
      <w:sz w:val="24"/>
      <w:szCs w:val="20"/>
    </w:rPr>
  </w:style>
  <w:style w:type="paragraph" w:customStyle="1" w:styleId="318">
    <w:name w:val="toc 713"/>
    <w:next w:val="1"/>
    <w:qFormat/>
    <w:uiPriority w:val="0"/>
    <w:pPr>
      <w:wordWrap w:val="0"/>
      <w:ind w:left="2550"/>
      <w:jc w:val="both"/>
    </w:pPr>
    <w:rPr>
      <w:rFonts w:ascii="Calibri" w:hAnsi="Calibri" w:eastAsia="宋体" w:cs="Times New Roman"/>
      <w:sz w:val="21"/>
      <w:lang w:val="en-US" w:eastAsia="zh-CN" w:bidi="ar-SA"/>
    </w:rPr>
  </w:style>
  <w:style w:type="paragraph" w:customStyle="1" w:styleId="319">
    <w:name w:val="xl102"/>
    <w:basedOn w:val="1"/>
    <w:next w:val="320"/>
    <w:qFormat/>
    <w:uiPriority w:val="0"/>
    <w:pPr>
      <w:widowControl/>
      <w:shd w:val="clear" w:color="000000" w:fill="FFFFFF"/>
      <w:spacing w:before="280" w:after="280"/>
      <w:jc w:val="right"/>
    </w:pPr>
    <w:rPr>
      <w:rFonts w:ascii="宋体" w:hAnsi="Calibri"/>
      <w:kern w:val="0"/>
      <w:sz w:val="20"/>
      <w:szCs w:val="20"/>
    </w:rPr>
  </w:style>
  <w:style w:type="paragraph" w:customStyle="1" w:styleId="320">
    <w:name w:val="toc 17"/>
    <w:next w:val="1"/>
    <w:qFormat/>
    <w:uiPriority w:val="0"/>
    <w:pPr>
      <w:wordWrap w:val="0"/>
      <w:jc w:val="both"/>
    </w:pPr>
    <w:rPr>
      <w:rFonts w:ascii="Calibri" w:hAnsi="Calibri" w:eastAsia="宋体" w:cs="Times New Roman"/>
      <w:sz w:val="21"/>
      <w:lang w:val="en-US" w:eastAsia="zh-CN" w:bidi="ar-SA"/>
    </w:rPr>
  </w:style>
  <w:style w:type="paragraph" w:customStyle="1" w:styleId="321">
    <w:name w:val="toc 46"/>
    <w:next w:val="1"/>
    <w:qFormat/>
    <w:uiPriority w:val="0"/>
    <w:pPr>
      <w:wordWrap w:val="0"/>
      <w:ind w:left="1275"/>
      <w:jc w:val="both"/>
    </w:pPr>
    <w:rPr>
      <w:rFonts w:ascii="Calibri" w:hAnsi="Calibri" w:eastAsia="宋体" w:cs="Times New Roman"/>
      <w:sz w:val="21"/>
      <w:lang w:val="en-US" w:eastAsia="zh-CN" w:bidi="ar-SA"/>
    </w:rPr>
  </w:style>
  <w:style w:type="paragraph" w:customStyle="1" w:styleId="322">
    <w:name w:val="toc 311"/>
    <w:next w:val="1"/>
    <w:qFormat/>
    <w:uiPriority w:val="0"/>
    <w:pPr>
      <w:wordWrap w:val="0"/>
      <w:ind w:left="850"/>
      <w:jc w:val="both"/>
    </w:pPr>
    <w:rPr>
      <w:rFonts w:ascii="Calibri" w:hAnsi="Calibri" w:eastAsia="宋体" w:cs="Times New Roman"/>
      <w:sz w:val="21"/>
      <w:lang w:val="en-US" w:eastAsia="zh-CN" w:bidi="ar-SA"/>
    </w:rPr>
  </w:style>
  <w:style w:type="paragraph" w:customStyle="1" w:styleId="323">
    <w:name w:val="xl65"/>
    <w:basedOn w:val="1"/>
    <w:next w:val="224"/>
    <w:qFormat/>
    <w:uiPriority w:val="0"/>
    <w:pPr>
      <w:widowControl/>
      <w:shd w:val="clear" w:color="000000" w:fill="FFFFFF"/>
      <w:spacing w:before="280" w:after="280"/>
      <w:jc w:val="center"/>
    </w:pPr>
    <w:rPr>
      <w:rFonts w:ascii="宋体" w:hAnsi="Calibri"/>
      <w:kern w:val="0"/>
      <w:sz w:val="20"/>
      <w:szCs w:val="20"/>
    </w:rPr>
  </w:style>
  <w:style w:type="paragraph" w:customStyle="1" w:styleId="324">
    <w:name w:val="toc 94"/>
    <w:next w:val="1"/>
    <w:qFormat/>
    <w:uiPriority w:val="0"/>
    <w:pPr>
      <w:wordWrap w:val="0"/>
      <w:ind w:left="3400"/>
      <w:jc w:val="both"/>
    </w:pPr>
    <w:rPr>
      <w:rFonts w:ascii="Calibri" w:hAnsi="Calibri" w:eastAsia="宋体" w:cs="Times New Roman"/>
      <w:sz w:val="21"/>
      <w:lang w:val="en-US" w:eastAsia="zh-CN" w:bidi="ar-SA"/>
    </w:rPr>
  </w:style>
  <w:style w:type="paragraph" w:customStyle="1" w:styleId="325">
    <w:name w:val="toc 55"/>
    <w:next w:val="1"/>
    <w:qFormat/>
    <w:uiPriority w:val="0"/>
    <w:pPr>
      <w:wordWrap w:val="0"/>
      <w:ind w:left="1700"/>
      <w:jc w:val="both"/>
    </w:pPr>
    <w:rPr>
      <w:rFonts w:ascii="Calibri" w:hAnsi="Calibri" w:eastAsia="宋体" w:cs="Times New Roman"/>
      <w:sz w:val="21"/>
      <w:lang w:val="en-US" w:eastAsia="zh-CN" w:bidi="ar-SA"/>
    </w:rPr>
  </w:style>
  <w:style w:type="paragraph" w:customStyle="1" w:styleId="326">
    <w:name w:val="toc 812"/>
    <w:next w:val="1"/>
    <w:qFormat/>
    <w:uiPriority w:val="0"/>
    <w:pPr>
      <w:wordWrap w:val="0"/>
      <w:ind w:left="2975"/>
      <w:jc w:val="both"/>
    </w:pPr>
    <w:rPr>
      <w:rFonts w:ascii="Calibri" w:hAnsi="Calibri" w:eastAsia="宋体" w:cs="Times New Roman"/>
      <w:sz w:val="21"/>
      <w:lang w:val="en-US" w:eastAsia="zh-CN" w:bidi="ar-SA"/>
    </w:rPr>
  </w:style>
  <w:style w:type="paragraph" w:customStyle="1" w:styleId="327">
    <w:name w:val="xl75"/>
    <w:basedOn w:val="1"/>
    <w:next w:val="328"/>
    <w:qFormat/>
    <w:uiPriority w:val="0"/>
    <w:pPr>
      <w:widowControl/>
      <w:shd w:val="clear" w:color="000000" w:fill="FFFFFF"/>
      <w:spacing w:before="280" w:after="280"/>
    </w:pPr>
    <w:rPr>
      <w:rFonts w:ascii="宋体" w:hAnsi="Calibri"/>
      <w:kern w:val="0"/>
      <w:sz w:val="20"/>
      <w:szCs w:val="20"/>
    </w:rPr>
  </w:style>
  <w:style w:type="paragraph" w:customStyle="1" w:styleId="328">
    <w:name w:val="toc 914"/>
    <w:next w:val="1"/>
    <w:qFormat/>
    <w:uiPriority w:val="0"/>
    <w:pPr>
      <w:wordWrap w:val="0"/>
      <w:ind w:left="3400"/>
      <w:jc w:val="both"/>
    </w:pPr>
    <w:rPr>
      <w:rFonts w:ascii="Calibri" w:hAnsi="Calibri" w:eastAsia="宋体" w:cs="Times New Roman"/>
      <w:sz w:val="21"/>
      <w:lang w:val="en-US" w:eastAsia="zh-CN" w:bidi="ar-SA"/>
    </w:rPr>
  </w:style>
  <w:style w:type="paragraph" w:customStyle="1" w:styleId="329">
    <w:name w:val="toc 19"/>
    <w:next w:val="1"/>
    <w:qFormat/>
    <w:uiPriority w:val="0"/>
    <w:pPr>
      <w:wordWrap w:val="0"/>
      <w:jc w:val="both"/>
    </w:pPr>
    <w:rPr>
      <w:rFonts w:ascii="Calibri" w:hAnsi="Calibri" w:eastAsia="宋体" w:cs="Times New Roman"/>
      <w:sz w:val="21"/>
      <w:lang w:val="en-US" w:eastAsia="zh-CN" w:bidi="ar-SA"/>
    </w:rPr>
  </w:style>
  <w:style w:type="paragraph" w:customStyle="1" w:styleId="330">
    <w:name w:val="TOC Heading6"/>
    <w:next w:val="1"/>
    <w:qFormat/>
    <w:uiPriority w:val="0"/>
    <w:pPr>
      <w:wordWrap w:val="0"/>
    </w:pPr>
    <w:rPr>
      <w:rFonts w:ascii="Calibri" w:hAnsi="Calibri" w:eastAsia="宋体" w:cs="Times New Roman"/>
      <w:sz w:val="32"/>
      <w:lang w:val="en-US" w:eastAsia="zh-CN" w:bidi="ar-SA"/>
    </w:rPr>
  </w:style>
  <w:style w:type="paragraph" w:customStyle="1" w:styleId="331">
    <w:name w:val="toc 52"/>
    <w:next w:val="1"/>
    <w:qFormat/>
    <w:uiPriority w:val="0"/>
    <w:pPr>
      <w:wordWrap w:val="0"/>
      <w:ind w:left="1700"/>
      <w:jc w:val="both"/>
    </w:pPr>
    <w:rPr>
      <w:rFonts w:ascii="Calibri" w:hAnsi="Calibri" w:eastAsia="宋体" w:cs="Times New Roman"/>
      <w:sz w:val="21"/>
      <w:lang w:val="en-US" w:eastAsia="zh-CN" w:bidi="ar-SA"/>
    </w:rPr>
  </w:style>
  <w:style w:type="paragraph" w:customStyle="1" w:styleId="332">
    <w:name w:val="toc 36"/>
    <w:next w:val="1"/>
    <w:qFormat/>
    <w:uiPriority w:val="0"/>
    <w:pPr>
      <w:wordWrap w:val="0"/>
      <w:ind w:left="850"/>
      <w:jc w:val="both"/>
    </w:pPr>
    <w:rPr>
      <w:rFonts w:ascii="Calibri" w:hAnsi="Calibri" w:eastAsia="宋体" w:cs="Times New Roman"/>
      <w:sz w:val="21"/>
      <w:lang w:val="en-US" w:eastAsia="zh-CN" w:bidi="ar-SA"/>
    </w:rPr>
  </w:style>
  <w:style w:type="paragraph" w:customStyle="1" w:styleId="333">
    <w:name w:val="toc 82"/>
    <w:next w:val="1"/>
    <w:qFormat/>
    <w:uiPriority w:val="0"/>
    <w:pPr>
      <w:wordWrap w:val="0"/>
      <w:ind w:left="2975"/>
      <w:jc w:val="both"/>
    </w:pPr>
    <w:rPr>
      <w:rFonts w:ascii="Calibri" w:hAnsi="Calibri" w:eastAsia="宋体" w:cs="Times New Roman"/>
      <w:sz w:val="21"/>
      <w:lang w:val="en-US" w:eastAsia="zh-CN" w:bidi="ar-SA"/>
    </w:rPr>
  </w:style>
  <w:style w:type="paragraph" w:customStyle="1" w:styleId="334">
    <w:name w:val="xl104"/>
    <w:basedOn w:val="1"/>
    <w:next w:val="335"/>
    <w:qFormat/>
    <w:uiPriority w:val="0"/>
    <w:pPr>
      <w:widowControl/>
      <w:shd w:val="clear" w:color="000000" w:fill="FFFFFF"/>
      <w:spacing w:before="280" w:after="280"/>
      <w:jc w:val="center"/>
    </w:pPr>
    <w:rPr>
      <w:rFonts w:ascii="宋体" w:hAnsi="Calibri"/>
      <w:kern w:val="0"/>
      <w:sz w:val="20"/>
      <w:szCs w:val="20"/>
    </w:rPr>
  </w:style>
  <w:style w:type="paragraph" w:customStyle="1" w:styleId="335">
    <w:name w:val="toc 210"/>
    <w:next w:val="1"/>
    <w:qFormat/>
    <w:uiPriority w:val="0"/>
    <w:pPr>
      <w:wordWrap w:val="0"/>
      <w:ind w:left="425"/>
      <w:jc w:val="both"/>
    </w:pPr>
    <w:rPr>
      <w:rFonts w:ascii="Calibri" w:hAnsi="Calibri" w:eastAsia="宋体" w:cs="Times New Roman"/>
      <w:sz w:val="21"/>
      <w:lang w:val="en-US" w:eastAsia="zh-CN" w:bidi="ar-SA"/>
    </w:rPr>
  </w:style>
  <w:style w:type="paragraph" w:customStyle="1" w:styleId="336">
    <w:name w:val="toc 110"/>
    <w:next w:val="1"/>
    <w:qFormat/>
    <w:uiPriority w:val="0"/>
    <w:pPr>
      <w:wordWrap w:val="0"/>
      <w:jc w:val="both"/>
    </w:pPr>
    <w:rPr>
      <w:rFonts w:ascii="Calibri" w:hAnsi="Calibri" w:eastAsia="宋体" w:cs="Times New Roman"/>
      <w:sz w:val="21"/>
      <w:lang w:val="en-US" w:eastAsia="zh-CN" w:bidi="ar-SA"/>
    </w:rPr>
  </w:style>
  <w:style w:type="paragraph" w:customStyle="1" w:styleId="337">
    <w:name w:val="toc 66"/>
    <w:next w:val="1"/>
    <w:qFormat/>
    <w:uiPriority w:val="0"/>
    <w:pPr>
      <w:wordWrap w:val="0"/>
      <w:ind w:left="2125"/>
      <w:jc w:val="both"/>
    </w:pPr>
    <w:rPr>
      <w:rFonts w:ascii="Calibri" w:hAnsi="Calibri" w:eastAsia="宋体" w:cs="Times New Roman"/>
      <w:sz w:val="21"/>
      <w:lang w:val="en-US" w:eastAsia="zh-CN" w:bidi="ar-SA"/>
    </w:rPr>
  </w:style>
  <w:style w:type="paragraph" w:customStyle="1" w:styleId="338">
    <w:name w:val="toc 31"/>
    <w:next w:val="1"/>
    <w:qFormat/>
    <w:uiPriority w:val="0"/>
    <w:pPr>
      <w:wordWrap w:val="0"/>
      <w:ind w:left="850"/>
      <w:jc w:val="both"/>
    </w:pPr>
    <w:rPr>
      <w:rFonts w:ascii="Calibri" w:hAnsi="Calibri" w:eastAsia="宋体" w:cs="Times New Roman"/>
      <w:sz w:val="21"/>
      <w:lang w:val="en-US" w:eastAsia="zh-CN" w:bidi="ar-SA"/>
    </w:rPr>
  </w:style>
  <w:style w:type="paragraph" w:customStyle="1" w:styleId="339">
    <w:name w:val="toc 93"/>
    <w:next w:val="1"/>
    <w:qFormat/>
    <w:uiPriority w:val="0"/>
    <w:pPr>
      <w:wordWrap w:val="0"/>
      <w:ind w:left="3400"/>
      <w:jc w:val="both"/>
    </w:pPr>
    <w:rPr>
      <w:rFonts w:ascii="Calibri" w:hAnsi="Calibri" w:eastAsia="宋体" w:cs="Times New Roman"/>
      <w:sz w:val="21"/>
      <w:lang w:val="en-US" w:eastAsia="zh-CN" w:bidi="ar-SA"/>
    </w:rPr>
  </w:style>
  <w:style w:type="paragraph" w:customStyle="1" w:styleId="340">
    <w:name w:val="toc 614"/>
    <w:next w:val="1"/>
    <w:qFormat/>
    <w:uiPriority w:val="0"/>
    <w:pPr>
      <w:wordWrap w:val="0"/>
      <w:ind w:left="2125"/>
      <w:jc w:val="both"/>
    </w:pPr>
    <w:rPr>
      <w:rFonts w:ascii="Calibri" w:hAnsi="Calibri" w:eastAsia="宋体" w:cs="Times New Roman"/>
      <w:sz w:val="21"/>
      <w:lang w:val="en-US" w:eastAsia="zh-CN" w:bidi="ar-SA"/>
    </w:rPr>
  </w:style>
  <w:style w:type="paragraph" w:customStyle="1" w:styleId="341">
    <w:name w:val="无间隔1"/>
    <w:next w:val="336"/>
    <w:qFormat/>
    <w:uiPriority w:val="0"/>
    <w:pPr>
      <w:widowControl w:val="0"/>
      <w:jc w:val="both"/>
    </w:pPr>
    <w:rPr>
      <w:rFonts w:ascii="Calibri" w:hAnsi="Calibri" w:eastAsia="宋体" w:cs="Times New Roman"/>
      <w:sz w:val="22"/>
      <w:lang w:val="en-US" w:eastAsia="zh-CN" w:bidi="ar-SA"/>
    </w:rPr>
  </w:style>
  <w:style w:type="paragraph" w:customStyle="1" w:styleId="342">
    <w:name w:val="目录 41"/>
    <w:next w:val="1"/>
    <w:qFormat/>
    <w:uiPriority w:val="0"/>
    <w:pPr>
      <w:wordWrap w:val="0"/>
      <w:ind w:left="1275"/>
      <w:jc w:val="both"/>
    </w:pPr>
    <w:rPr>
      <w:rFonts w:ascii="Calibri" w:hAnsi="Calibri" w:eastAsia="宋体" w:cs="Times New Roman"/>
      <w:sz w:val="21"/>
      <w:lang w:val="en-US" w:eastAsia="zh-CN" w:bidi="ar-SA"/>
    </w:rPr>
  </w:style>
  <w:style w:type="paragraph" w:customStyle="1" w:styleId="343">
    <w:name w:val="xl105"/>
    <w:basedOn w:val="1"/>
    <w:next w:val="344"/>
    <w:qFormat/>
    <w:uiPriority w:val="0"/>
    <w:pPr>
      <w:widowControl/>
      <w:shd w:val="clear" w:color="000000" w:fill="FFFFFF"/>
      <w:spacing w:before="280" w:after="280"/>
    </w:pPr>
    <w:rPr>
      <w:rFonts w:ascii="宋体" w:hAnsi="Calibri"/>
      <w:kern w:val="0"/>
      <w:sz w:val="18"/>
      <w:szCs w:val="20"/>
    </w:rPr>
  </w:style>
  <w:style w:type="paragraph" w:customStyle="1" w:styleId="344">
    <w:name w:val="toc 615"/>
    <w:next w:val="1"/>
    <w:qFormat/>
    <w:uiPriority w:val="0"/>
    <w:pPr>
      <w:wordWrap w:val="0"/>
      <w:ind w:left="2125"/>
      <w:jc w:val="both"/>
    </w:pPr>
    <w:rPr>
      <w:rFonts w:ascii="Calibri" w:hAnsi="Calibri" w:eastAsia="宋体" w:cs="Times New Roman"/>
      <w:sz w:val="21"/>
      <w:lang w:val="en-US" w:eastAsia="zh-CN" w:bidi="ar-SA"/>
    </w:rPr>
  </w:style>
  <w:style w:type="paragraph" w:customStyle="1" w:styleId="345">
    <w:name w:val="toc 41"/>
    <w:next w:val="1"/>
    <w:qFormat/>
    <w:uiPriority w:val="0"/>
    <w:pPr>
      <w:wordWrap w:val="0"/>
      <w:ind w:left="1275"/>
      <w:jc w:val="both"/>
    </w:pPr>
    <w:rPr>
      <w:rFonts w:ascii="Calibri" w:hAnsi="Calibri" w:eastAsia="宋体" w:cs="Times New Roman"/>
      <w:sz w:val="21"/>
      <w:lang w:val="en-US" w:eastAsia="zh-CN" w:bidi="ar-SA"/>
    </w:rPr>
  </w:style>
  <w:style w:type="paragraph" w:customStyle="1" w:styleId="346">
    <w:name w:val="toc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47">
    <w:name w:val="xl111"/>
    <w:basedOn w:val="1"/>
    <w:next w:val="348"/>
    <w:qFormat/>
    <w:uiPriority w:val="0"/>
    <w:pPr>
      <w:widowControl/>
      <w:shd w:val="clear" w:color="000000" w:fill="FFFFFF"/>
      <w:spacing w:before="280" w:after="280"/>
      <w:jc w:val="center"/>
    </w:pPr>
    <w:rPr>
      <w:rFonts w:ascii="宋体" w:hAnsi="Calibri"/>
      <w:b/>
      <w:kern w:val="0"/>
      <w:sz w:val="20"/>
      <w:szCs w:val="20"/>
    </w:rPr>
  </w:style>
  <w:style w:type="paragraph" w:customStyle="1" w:styleId="348">
    <w:name w:val="toc 88"/>
    <w:next w:val="1"/>
    <w:qFormat/>
    <w:uiPriority w:val="0"/>
    <w:pPr>
      <w:wordWrap w:val="0"/>
      <w:ind w:left="2975"/>
      <w:jc w:val="both"/>
    </w:pPr>
    <w:rPr>
      <w:rFonts w:ascii="Calibri" w:hAnsi="Calibri" w:eastAsia="宋体" w:cs="Times New Roman"/>
      <w:sz w:val="21"/>
      <w:lang w:val="en-US" w:eastAsia="zh-CN" w:bidi="ar-SA"/>
    </w:rPr>
  </w:style>
  <w:style w:type="paragraph" w:customStyle="1" w:styleId="349">
    <w:name w:val="toc 84"/>
    <w:next w:val="1"/>
    <w:qFormat/>
    <w:uiPriority w:val="0"/>
    <w:pPr>
      <w:wordWrap w:val="0"/>
      <w:ind w:left="2975"/>
      <w:jc w:val="both"/>
    </w:pPr>
    <w:rPr>
      <w:rFonts w:ascii="Calibri" w:hAnsi="Calibri" w:eastAsia="宋体" w:cs="Times New Roman"/>
      <w:sz w:val="21"/>
      <w:lang w:val="en-US" w:eastAsia="zh-CN" w:bidi="ar-SA"/>
    </w:rPr>
  </w:style>
  <w:style w:type="paragraph" w:customStyle="1" w:styleId="350">
    <w:name w:val="p0"/>
    <w:basedOn w:val="1"/>
    <w:next w:val="351"/>
    <w:qFormat/>
    <w:uiPriority w:val="0"/>
    <w:pPr>
      <w:widowControl/>
      <w:spacing w:before="280" w:after="280"/>
    </w:pPr>
    <w:rPr>
      <w:rFonts w:ascii="宋体" w:hAnsi="Calibri"/>
      <w:kern w:val="0"/>
      <w:sz w:val="24"/>
      <w:szCs w:val="20"/>
    </w:rPr>
  </w:style>
  <w:style w:type="paragraph" w:customStyle="1" w:styleId="351">
    <w:name w:val="toc 69"/>
    <w:next w:val="1"/>
    <w:qFormat/>
    <w:uiPriority w:val="0"/>
    <w:pPr>
      <w:wordWrap w:val="0"/>
      <w:ind w:left="2125"/>
      <w:jc w:val="both"/>
    </w:pPr>
    <w:rPr>
      <w:rFonts w:ascii="Calibri" w:hAnsi="Calibri" w:eastAsia="宋体" w:cs="Times New Roman"/>
      <w:sz w:val="21"/>
      <w:lang w:val="en-US" w:eastAsia="zh-CN" w:bidi="ar-SA"/>
    </w:rPr>
  </w:style>
  <w:style w:type="paragraph" w:customStyle="1" w:styleId="352">
    <w:name w:val="列出段落11"/>
    <w:basedOn w:val="1"/>
    <w:next w:val="353"/>
    <w:qFormat/>
    <w:uiPriority w:val="0"/>
    <w:pPr>
      <w:widowControl/>
      <w:spacing w:line="360" w:lineRule="auto"/>
      <w:ind w:firstLine="420"/>
    </w:pPr>
    <w:rPr>
      <w:rFonts w:hAnsi="Calibri" w:eastAsia="微软雅黑"/>
      <w:kern w:val="0"/>
      <w:sz w:val="24"/>
      <w:szCs w:val="20"/>
    </w:rPr>
  </w:style>
  <w:style w:type="paragraph" w:customStyle="1" w:styleId="353">
    <w:name w:val="toc 214"/>
    <w:next w:val="1"/>
    <w:qFormat/>
    <w:uiPriority w:val="0"/>
    <w:pPr>
      <w:wordWrap w:val="0"/>
      <w:ind w:left="425"/>
      <w:jc w:val="both"/>
    </w:pPr>
    <w:rPr>
      <w:rFonts w:ascii="Calibri" w:hAnsi="Calibri" w:eastAsia="宋体" w:cs="Times New Roman"/>
      <w:sz w:val="21"/>
      <w:lang w:val="en-US" w:eastAsia="zh-CN" w:bidi="ar-SA"/>
    </w:rPr>
  </w:style>
  <w:style w:type="paragraph" w:customStyle="1" w:styleId="354">
    <w:name w:val="toc 63"/>
    <w:next w:val="1"/>
    <w:qFormat/>
    <w:uiPriority w:val="0"/>
    <w:pPr>
      <w:wordWrap w:val="0"/>
      <w:ind w:left="2125"/>
      <w:jc w:val="both"/>
    </w:pPr>
    <w:rPr>
      <w:rFonts w:ascii="Calibri" w:hAnsi="Calibri" w:eastAsia="宋体" w:cs="Times New Roman"/>
      <w:sz w:val="21"/>
      <w:lang w:val="en-US" w:eastAsia="zh-CN" w:bidi="ar-SA"/>
    </w:rPr>
  </w:style>
  <w:style w:type="paragraph" w:customStyle="1" w:styleId="355">
    <w:name w:val="xl91"/>
    <w:basedOn w:val="1"/>
    <w:next w:val="252"/>
    <w:qFormat/>
    <w:uiPriority w:val="0"/>
    <w:pPr>
      <w:widowControl/>
      <w:shd w:val="clear" w:color="000000" w:fill="FFFFFF"/>
      <w:spacing w:before="280" w:after="280"/>
    </w:pPr>
    <w:rPr>
      <w:rFonts w:ascii="宋体" w:hAnsi="Calibri"/>
      <w:kern w:val="0"/>
      <w:sz w:val="20"/>
      <w:szCs w:val="20"/>
    </w:rPr>
  </w:style>
  <w:style w:type="paragraph" w:customStyle="1" w:styleId="356">
    <w:name w:val="toc 316"/>
    <w:next w:val="1"/>
    <w:qFormat/>
    <w:uiPriority w:val="0"/>
    <w:pPr>
      <w:wordWrap w:val="0"/>
      <w:ind w:left="850"/>
      <w:jc w:val="both"/>
    </w:pPr>
    <w:rPr>
      <w:rFonts w:ascii="Calibri" w:hAnsi="Calibri" w:eastAsia="宋体" w:cs="Times New Roman"/>
      <w:sz w:val="21"/>
      <w:lang w:val="en-US" w:eastAsia="zh-CN" w:bidi="ar-SA"/>
    </w:rPr>
  </w:style>
  <w:style w:type="paragraph" w:customStyle="1" w:styleId="357">
    <w:name w:val="_Style 1"/>
    <w:basedOn w:val="1"/>
    <w:next w:val="358"/>
    <w:qFormat/>
    <w:uiPriority w:val="0"/>
    <w:pPr>
      <w:ind w:firstLine="420"/>
    </w:pPr>
    <w:rPr>
      <w:rFonts w:hAnsi="Calibri"/>
      <w:kern w:val="0"/>
      <w:szCs w:val="20"/>
    </w:rPr>
  </w:style>
  <w:style w:type="paragraph" w:customStyle="1" w:styleId="358">
    <w:name w:val="TOC Heading13"/>
    <w:next w:val="1"/>
    <w:qFormat/>
    <w:uiPriority w:val="0"/>
    <w:pPr>
      <w:wordWrap w:val="0"/>
    </w:pPr>
    <w:rPr>
      <w:rFonts w:ascii="Calibri" w:hAnsi="Calibri" w:eastAsia="宋体" w:cs="Times New Roman"/>
      <w:sz w:val="32"/>
      <w:lang w:val="en-US" w:eastAsia="zh-CN" w:bidi="ar-SA"/>
    </w:rPr>
  </w:style>
  <w:style w:type="paragraph" w:customStyle="1" w:styleId="359">
    <w:name w:val="toc 116"/>
    <w:next w:val="1"/>
    <w:qFormat/>
    <w:uiPriority w:val="0"/>
    <w:pPr>
      <w:wordWrap w:val="0"/>
      <w:jc w:val="both"/>
    </w:pPr>
    <w:rPr>
      <w:rFonts w:ascii="Calibri" w:hAnsi="Calibri" w:eastAsia="宋体" w:cs="Times New Roman"/>
      <w:sz w:val="21"/>
      <w:lang w:val="en-US" w:eastAsia="zh-CN" w:bidi="ar-SA"/>
    </w:rPr>
  </w:style>
  <w:style w:type="paragraph" w:customStyle="1" w:styleId="360">
    <w:name w:val="toc 72"/>
    <w:next w:val="1"/>
    <w:qFormat/>
    <w:uiPriority w:val="0"/>
    <w:pPr>
      <w:wordWrap w:val="0"/>
      <w:ind w:left="2550"/>
      <w:jc w:val="both"/>
    </w:pPr>
    <w:rPr>
      <w:rFonts w:ascii="Calibri" w:hAnsi="Calibri" w:eastAsia="宋体" w:cs="Times New Roman"/>
      <w:sz w:val="21"/>
      <w:lang w:val="en-US" w:eastAsia="zh-CN" w:bidi="ar-SA"/>
    </w:rPr>
  </w:style>
  <w:style w:type="paragraph" w:customStyle="1" w:styleId="361">
    <w:name w:val="x_msonormal"/>
    <w:basedOn w:val="1"/>
    <w:next w:val="311"/>
    <w:qFormat/>
    <w:uiPriority w:val="0"/>
    <w:pPr>
      <w:widowControl/>
      <w:spacing w:before="280" w:after="280"/>
    </w:pPr>
    <w:rPr>
      <w:rFonts w:ascii="PMingLiU" w:hAnsi="Calibri" w:eastAsia="PMingLiU"/>
      <w:kern w:val="0"/>
      <w:sz w:val="24"/>
      <w:szCs w:val="20"/>
    </w:rPr>
  </w:style>
  <w:style w:type="paragraph" w:customStyle="1" w:styleId="362">
    <w:name w:val="toc 310"/>
    <w:next w:val="1"/>
    <w:qFormat/>
    <w:uiPriority w:val="0"/>
    <w:pPr>
      <w:wordWrap w:val="0"/>
      <w:ind w:left="850"/>
      <w:jc w:val="both"/>
    </w:pPr>
    <w:rPr>
      <w:rFonts w:ascii="Calibri" w:hAnsi="Calibri" w:eastAsia="宋体" w:cs="Times New Roman"/>
      <w:sz w:val="21"/>
      <w:lang w:val="en-US" w:eastAsia="zh-CN" w:bidi="ar-SA"/>
    </w:rPr>
  </w:style>
  <w:style w:type="paragraph" w:customStyle="1" w:styleId="363">
    <w:name w:val="toc 83"/>
    <w:next w:val="1"/>
    <w:qFormat/>
    <w:uiPriority w:val="0"/>
    <w:pPr>
      <w:wordWrap w:val="0"/>
      <w:ind w:left="2975"/>
      <w:jc w:val="both"/>
    </w:pPr>
    <w:rPr>
      <w:rFonts w:ascii="Calibri" w:hAnsi="Calibri" w:eastAsia="宋体" w:cs="Times New Roman"/>
      <w:sz w:val="21"/>
      <w:lang w:val="en-US" w:eastAsia="zh-CN" w:bidi="ar-SA"/>
    </w:rPr>
  </w:style>
  <w:style w:type="paragraph" w:customStyle="1" w:styleId="364">
    <w:name w:val="TOC Heading17"/>
    <w:next w:val="1"/>
    <w:qFormat/>
    <w:uiPriority w:val="0"/>
    <w:pPr>
      <w:wordWrap w:val="0"/>
    </w:pPr>
    <w:rPr>
      <w:rFonts w:ascii="Calibri" w:hAnsi="Calibri" w:eastAsia="宋体" w:cs="Times New Roman"/>
      <w:sz w:val="32"/>
      <w:lang w:val="en-US" w:eastAsia="zh-CN" w:bidi="ar-SA"/>
    </w:rPr>
  </w:style>
  <w:style w:type="paragraph" w:customStyle="1" w:styleId="365">
    <w:name w:val="toc 911"/>
    <w:next w:val="1"/>
    <w:qFormat/>
    <w:uiPriority w:val="0"/>
    <w:pPr>
      <w:wordWrap w:val="0"/>
      <w:ind w:left="3400"/>
      <w:jc w:val="both"/>
    </w:pPr>
    <w:rPr>
      <w:rFonts w:ascii="Calibri" w:hAnsi="Calibri" w:eastAsia="宋体" w:cs="Times New Roman"/>
      <w:sz w:val="21"/>
      <w:lang w:val="en-US" w:eastAsia="zh-CN" w:bidi="ar-SA"/>
    </w:rPr>
  </w:style>
  <w:style w:type="paragraph" w:customStyle="1" w:styleId="366">
    <w:name w:val="toc 811"/>
    <w:next w:val="1"/>
    <w:qFormat/>
    <w:uiPriority w:val="0"/>
    <w:pPr>
      <w:wordWrap w:val="0"/>
      <w:ind w:left="2975"/>
      <w:jc w:val="both"/>
    </w:pPr>
    <w:rPr>
      <w:rFonts w:ascii="Calibri" w:hAnsi="Calibri" w:eastAsia="宋体" w:cs="Times New Roman"/>
      <w:sz w:val="21"/>
      <w:lang w:val="en-US" w:eastAsia="zh-CN" w:bidi="ar-SA"/>
    </w:rPr>
  </w:style>
  <w:style w:type="paragraph" w:customStyle="1" w:styleId="367">
    <w:name w:val="目录 31"/>
    <w:next w:val="1"/>
    <w:qFormat/>
    <w:uiPriority w:val="0"/>
    <w:pPr>
      <w:wordWrap w:val="0"/>
      <w:ind w:left="850"/>
      <w:jc w:val="both"/>
    </w:pPr>
    <w:rPr>
      <w:rFonts w:ascii="Calibri" w:hAnsi="Calibri" w:eastAsia="宋体" w:cs="Times New Roman"/>
      <w:sz w:val="21"/>
      <w:lang w:val="en-US" w:eastAsia="zh-CN" w:bidi="ar-SA"/>
    </w:rPr>
  </w:style>
  <w:style w:type="paragraph" w:customStyle="1" w:styleId="368">
    <w:name w:val="xl118"/>
    <w:basedOn w:val="1"/>
    <w:next w:val="242"/>
    <w:qFormat/>
    <w:uiPriority w:val="0"/>
    <w:pPr>
      <w:widowControl/>
      <w:shd w:val="clear" w:color="000000" w:fill="FFFFFF"/>
      <w:spacing w:before="280" w:after="280"/>
      <w:jc w:val="center"/>
    </w:pPr>
    <w:rPr>
      <w:rFonts w:ascii="宋体" w:hAnsi="Calibri"/>
      <w:b/>
      <w:kern w:val="0"/>
      <w:sz w:val="20"/>
      <w:szCs w:val="20"/>
    </w:rPr>
  </w:style>
  <w:style w:type="paragraph" w:customStyle="1" w:styleId="369">
    <w:name w:val="xl83"/>
    <w:basedOn w:val="1"/>
    <w:next w:val="297"/>
    <w:qFormat/>
    <w:uiPriority w:val="0"/>
    <w:pPr>
      <w:widowControl/>
      <w:shd w:val="clear" w:color="000000" w:fill="FFFFFF"/>
      <w:spacing w:before="280" w:after="280"/>
    </w:pPr>
    <w:rPr>
      <w:rFonts w:ascii="宋体" w:hAnsi="Calibri"/>
      <w:kern w:val="0"/>
      <w:sz w:val="20"/>
      <w:szCs w:val="20"/>
    </w:rPr>
  </w:style>
  <w:style w:type="paragraph" w:customStyle="1" w:styleId="370">
    <w:name w:val="xl103"/>
    <w:basedOn w:val="1"/>
    <w:next w:val="371"/>
    <w:qFormat/>
    <w:uiPriority w:val="0"/>
    <w:pPr>
      <w:widowControl/>
      <w:shd w:val="clear" w:color="000000" w:fill="FFFFFF"/>
      <w:spacing w:before="280" w:after="280"/>
    </w:pPr>
    <w:rPr>
      <w:rFonts w:ascii="宋体" w:hAnsi="Calibri"/>
      <w:kern w:val="0"/>
      <w:sz w:val="20"/>
      <w:szCs w:val="20"/>
    </w:rPr>
  </w:style>
  <w:style w:type="paragraph" w:customStyle="1" w:styleId="371">
    <w:name w:val="toc 111"/>
    <w:next w:val="1"/>
    <w:qFormat/>
    <w:uiPriority w:val="0"/>
    <w:pPr>
      <w:wordWrap w:val="0"/>
      <w:jc w:val="both"/>
    </w:pPr>
    <w:rPr>
      <w:rFonts w:ascii="Calibri" w:hAnsi="Calibri" w:eastAsia="宋体" w:cs="Times New Roman"/>
      <w:sz w:val="21"/>
      <w:lang w:val="en-US" w:eastAsia="zh-CN" w:bidi="ar-SA"/>
    </w:rPr>
  </w:style>
  <w:style w:type="paragraph" w:customStyle="1" w:styleId="372">
    <w:name w:val="xl68"/>
    <w:basedOn w:val="1"/>
    <w:next w:val="373"/>
    <w:qFormat/>
    <w:uiPriority w:val="0"/>
    <w:pPr>
      <w:widowControl/>
      <w:shd w:val="clear" w:color="000000" w:fill="FFFFFF"/>
      <w:spacing w:before="280" w:after="280"/>
    </w:pPr>
    <w:rPr>
      <w:rFonts w:ascii="宋体" w:hAnsi="Calibri"/>
      <w:b/>
      <w:kern w:val="0"/>
      <w:sz w:val="20"/>
      <w:szCs w:val="20"/>
    </w:rPr>
  </w:style>
  <w:style w:type="paragraph" w:customStyle="1" w:styleId="373">
    <w:name w:val="TOC Heading16"/>
    <w:next w:val="1"/>
    <w:qFormat/>
    <w:uiPriority w:val="0"/>
    <w:pPr>
      <w:wordWrap w:val="0"/>
    </w:pPr>
    <w:rPr>
      <w:rFonts w:ascii="Calibri" w:hAnsi="Calibri" w:eastAsia="宋体" w:cs="Times New Roman"/>
      <w:sz w:val="32"/>
      <w:lang w:val="en-US" w:eastAsia="zh-CN" w:bidi="ar-SA"/>
    </w:rPr>
  </w:style>
  <w:style w:type="paragraph" w:customStyle="1" w:styleId="374">
    <w:name w:val="toc 113"/>
    <w:next w:val="1"/>
    <w:qFormat/>
    <w:uiPriority w:val="0"/>
    <w:pPr>
      <w:wordWrap w:val="0"/>
      <w:jc w:val="both"/>
    </w:pPr>
    <w:rPr>
      <w:rFonts w:ascii="Calibri" w:hAnsi="Calibri" w:eastAsia="宋体" w:cs="Times New Roman"/>
      <w:sz w:val="21"/>
      <w:lang w:val="en-US" w:eastAsia="zh-CN" w:bidi="ar-SA"/>
    </w:rPr>
  </w:style>
  <w:style w:type="paragraph" w:customStyle="1" w:styleId="375">
    <w:name w:val="xl94"/>
    <w:basedOn w:val="1"/>
    <w:next w:val="266"/>
    <w:qFormat/>
    <w:uiPriority w:val="0"/>
    <w:pPr>
      <w:widowControl/>
      <w:shd w:val="clear" w:color="000000" w:fill="FFFFFF"/>
      <w:spacing w:before="280" w:after="280"/>
      <w:jc w:val="center"/>
    </w:pPr>
    <w:rPr>
      <w:rFonts w:ascii="宋体" w:hAnsi="Calibri"/>
      <w:kern w:val="0"/>
      <w:sz w:val="20"/>
      <w:szCs w:val="20"/>
    </w:rPr>
  </w:style>
  <w:style w:type="paragraph" w:customStyle="1" w:styleId="376">
    <w:name w:val="toc 53"/>
    <w:next w:val="1"/>
    <w:qFormat/>
    <w:uiPriority w:val="0"/>
    <w:pPr>
      <w:wordWrap w:val="0"/>
      <w:ind w:left="1700"/>
      <w:jc w:val="both"/>
    </w:pPr>
    <w:rPr>
      <w:rFonts w:ascii="Calibri" w:hAnsi="Calibri" w:eastAsia="宋体" w:cs="Times New Roman"/>
      <w:sz w:val="21"/>
      <w:lang w:val="en-US" w:eastAsia="zh-CN" w:bidi="ar-SA"/>
    </w:rPr>
  </w:style>
  <w:style w:type="paragraph" w:customStyle="1" w:styleId="377">
    <w:name w:val="xl92"/>
    <w:basedOn w:val="1"/>
    <w:next w:val="378"/>
    <w:qFormat/>
    <w:uiPriority w:val="0"/>
    <w:pPr>
      <w:widowControl/>
      <w:shd w:val="clear" w:color="000000" w:fill="FFFFFF"/>
      <w:spacing w:before="280" w:after="280"/>
    </w:pPr>
    <w:rPr>
      <w:rFonts w:ascii="宋体" w:hAnsi="Calibri"/>
      <w:kern w:val="0"/>
      <w:sz w:val="20"/>
      <w:szCs w:val="20"/>
    </w:rPr>
  </w:style>
  <w:style w:type="paragraph" w:customStyle="1" w:styleId="378">
    <w:name w:val="toc 913"/>
    <w:next w:val="1"/>
    <w:qFormat/>
    <w:uiPriority w:val="0"/>
    <w:pPr>
      <w:wordWrap w:val="0"/>
      <w:ind w:left="3400"/>
      <w:jc w:val="both"/>
    </w:pPr>
    <w:rPr>
      <w:rFonts w:ascii="Calibri" w:hAnsi="Calibri" w:eastAsia="宋体" w:cs="Times New Roman"/>
      <w:sz w:val="21"/>
      <w:lang w:val="en-US" w:eastAsia="zh-CN" w:bidi="ar-SA"/>
    </w:rPr>
  </w:style>
  <w:style w:type="paragraph" w:customStyle="1" w:styleId="379">
    <w:name w:val="toc 512"/>
    <w:next w:val="1"/>
    <w:qFormat/>
    <w:uiPriority w:val="0"/>
    <w:pPr>
      <w:wordWrap w:val="0"/>
      <w:ind w:left="1700"/>
      <w:jc w:val="both"/>
    </w:pPr>
    <w:rPr>
      <w:rFonts w:ascii="Calibri" w:hAnsi="Calibri" w:eastAsia="宋体" w:cs="Times New Roman"/>
      <w:sz w:val="21"/>
      <w:lang w:val="en-US" w:eastAsia="zh-CN" w:bidi="ar-SA"/>
    </w:rPr>
  </w:style>
  <w:style w:type="paragraph" w:customStyle="1" w:styleId="380">
    <w:name w:val="目录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81">
    <w:name w:val="正文表标题"/>
    <w:next w:val="1"/>
    <w:qFormat/>
    <w:uiPriority w:val="0"/>
    <w:pPr>
      <w:ind w:left="630"/>
      <w:jc w:val="center"/>
    </w:pPr>
    <w:rPr>
      <w:rFonts w:ascii="黑体" w:hAnsi="Calibri" w:eastAsia="黑体" w:cs="Times New Roman"/>
      <w:sz w:val="21"/>
      <w:lang w:val="en-US" w:eastAsia="zh-CN" w:bidi="ar-SA"/>
    </w:rPr>
  </w:style>
  <w:style w:type="paragraph" w:customStyle="1" w:styleId="382">
    <w:name w:val="toc 28"/>
    <w:next w:val="1"/>
    <w:qFormat/>
    <w:uiPriority w:val="0"/>
    <w:pPr>
      <w:wordWrap w:val="0"/>
      <w:ind w:left="425"/>
      <w:jc w:val="both"/>
    </w:pPr>
    <w:rPr>
      <w:rFonts w:ascii="Calibri" w:hAnsi="Calibri" w:eastAsia="宋体" w:cs="Times New Roman"/>
      <w:sz w:val="21"/>
      <w:lang w:val="en-US" w:eastAsia="zh-CN" w:bidi="ar-SA"/>
    </w:rPr>
  </w:style>
  <w:style w:type="paragraph" w:customStyle="1" w:styleId="383">
    <w:name w:val="toc 79"/>
    <w:next w:val="1"/>
    <w:qFormat/>
    <w:uiPriority w:val="0"/>
    <w:pPr>
      <w:wordWrap w:val="0"/>
      <w:ind w:left="2550"/>
      <w:jc w:val="both"/>
    </w:pPr>
    <w:rPr>
      <w:rFonts w:ascii="Calibri" w:hAnsi="Calibri" w:eastAsia="宋体" w:cs="Times New Roman"/>
      <w:sz w:val="21"/>
      <w:lang w:val="en-US" w:eastAsia="zh-CN" w:bidi="ar-SA"/>
    </w:rPr>
  </w:style>
  <w:style w:type="paragraph" w:customStyle="1" w:styleId="384">
    <w:name w:val="xl110"/>
    <w:basedOn w:val="1"/>
    <w:next w:val="340"/>
    <w:qFormat/>
    <w:uiPriority w:val="0"/>
    <w:pPr>
      <w:widowControl/>
      <w:shd w:val="clear" w:color="000000" w:fill="FFFFFF"/>
      <w:spacing w:before="280" w:after="280"/>
      <w:jc w:val="center"/>
    </w:pPr>
    <w:rPr>
      <w:rFonts w:ascii="宋体" w:hAnsi="Calibri"/>
      <w:kern w:val="0"/>
      <w:sz w:val="20"/>
      <w:szCs w:val="20"/>
    </w:rPr>
  </w:style>
  <w:style w:type="paragraph" w:customStyle="1" w:styleId="385">
    <w:name w:val="toc 511"/>
    <w:next w:val="1"/>
    <w:qFormat/>
    <w:uiPriority w:val="0"/>
    <w:pPr>
      <w:wordWrap w:val="0"/>
      <w:ind w:left="1700"/>
      <w:jc w:val="both"/>
    </w:pPr>
    <w:rPr>
      <w:rFonts w:ascii="Calibri" w:hAnsi="Calibri" w:eastAsia="宋体" w:cs="Times New Roman"/>
      <w:sz w:val="21"/>
      <w:lang w:val="en-US" w:eastAsia="zh-CN" w:bidi="ar-SA"/>
    </w:rPr>
  </w:style>
  <w:style w:type="paragraph" w:customStyle="1" w:styleId="386">
    <w:name w:val="toc 416"/>
    <w:next w:val="1"/>
    <w:qFormat/>
    <w:uiPriority w:val="0"/>
    <w:pPr>
      <w:wordWrap w:val="0"/>
      <w:ind w:left="1275"/>
      <w:jc w:val="both"/>
    </w:pPr>
    <w:rPr>
      <w:rFonts w:ascii="Calibri" w:hAnsi="Calibri" w:eastAsia="宋体" w:cs="Times New Roman"/>
      <w:sz w:val="21"/>
      <w:lang w:val="en-US" w:eastAsia="zh-CN" w:bidi="ar-SA"/>
    </w:rPr>
  </w:style>
  <w:style w:type="paragraph" w:customStyle="1" w:styleId="387">
    <w:name w:val="xl85"/>
    <w:basedOn w:val="1"/>
    <w:next w:val="388"/>
    <w:qFormat/>
    <w:uiPriority w:val="0"/>
    <w:pPr>
      <w:widowControl/>
      <w:shd w:val="clear" w:color="000000" w:fill="FFFFFF"/>
      <w:spacing w:before="280" w:after="280"/>
      <w:jc w:val="center"/>
    </w:pPr>
    <w:rPr>
      <w:rFonts w:ascii="宋体" w:hAnsi="Calibri"/>
      <w:kern w:val="0"/>
      <w:sz w:val="20"/>
      <w:szCs w:val="20"/>
    </w:rPr>
  </w:style>
  <w:style w:type="paragraph" w:customStyle="1" w:styleId="388">
    <w:name w:val="toc 76"/>
    <w:next w:val="1"/>
    <w:qFormat/>
    <w:uiPriority w:val="0"/>
    <w:pPr>
      <w:wordWrap w:val="0"/>
      <w:ind w:left="2550"/>
      <w:jc w:val="both"/>
    </w:pPr>
    <w:rPr>
      <w:rFonts w:ascii="Calibri" w:hAnsi="Calibri" w:eastAsia="宋体" w:cs="Times New Roman"/>
      <w:sz w:val="21"/>
      <w:lang w:val="en-US" w:eastAsia="zh-CN" w:bidi="ar-SA"/>
    </w:rPr>
  </w:style>
  <w:style w:type="paragraph" w:customStyle="1" w:styleId="389">
    <w:name w:val="toc 27"/>
    <w:next w:val="1"/>
    <w:qFormat/>
    <w:uiPriority w:val="0"/>
    <w:pPr>
      <w:wordWrap w:val="0"/>
      <w:ind w:left="425"/>
      <w:jc w:val="both"/>
    </w:pPr>
    <w:rPr>
      <w:rFonts w:ascii="Calibri" w:hAnsi="Calibri" w:eastAsia="宋体" w:cs="Times New Roman"/>
      <w:sz w:val="21"/>
      <w:lang w:val="en-US" w:eastAsia="zh-CN" w:bidi="ar-SA"/>
    </w:rPr>
  </w:style>
  <w:style w:type="paragraph" w:customStyle="1" w:styleId="390">
    <w:name w:val="toc 916"/>
    <w:next w:val="1"/>
    <w:qFormat/>
    <w:uiPriority w:val="0"/>
    <w:pPr>
      <w:wordWrap w:val="0"/>
      <w:ind w:left="3400"/>
      <w:jc w:val="both"/>
    </w:pPr>
    <w:rPr>
      <w:rFonts w:ascii="Calibri" w:hAnsi="Calibri" w:eastAsia="宋体" w:cs="Times New Roman"/>
      <w:sz w:val="21"/>
      <w:lang w:val="en-US" w:eastAsia="zh-CN" w:bidi="ar-SA"/>
    </w:rPr>
  </w:style>
  <w:style w:type="paragraph" w:customStyle="1" w:styleId="391">
    <w:name w:val="toc 77"/>
    <w:next w:val="1"/>
    <w:qFormat/>
    <w:uiPriority w:val="0"/>
    <w:pPr>
      <w:wordWrap w:val="0"/>
      <w:ind w:left="2550"/>
      <w:jc w:val="both"/>
    </w:pPr>
    <w:rPr>
      <w:rFonts w:ascii="Calibri" w:hAnsi="Calibri" w:eastAsia="宋体" w:cs="Times New Roman"/>
      <w:sz w:val="21"/>
      <w:lang w:val="en-US" w:eastAsia="zh-CN" w:bidi="ar-SA"/>
    </w:rPr>
  </w:style>
  <w:style w:type="paragraph" w:customStyle="1" w:styleId="392">
    <w:name w:val="toc 211"/>
    <w:next w:val="1"/>
    <w:qFormat/>
    <w:uiPriority w:val="0"/>
    <w:pPr>
      <w:wordWrap w:val="0"/>
      <w:ind w:left="425"/>
      <w:jc w:val="both"/>
    </w:pPr>
    <w:rPr>
      <w:rFonts w:ascii="Calibri" w:hAnsi="Calibri" w:eastAsia="宋体" w:cs="Times New Roman"/>
      <w:sz w:val="21"/>
      <w:lang w:val="en-US" w:eastAsia="zh-CN" w:bidi="ar-SA"/>
    </w:rPr>
  </w:style>
  <w:style w:type="paragraph" w:customStyle="1" w:styleId="393">
    <w:name w:val="toc 815"/>
    <w:next w:val="1"/>
    <w:qFormat/>
    <w:uiPriority w:val="0"/>
    <w:pPr>
      <w:wordWrap w:val="0"/>
      <w:ind w:left="2975"/>
      <w:jc w:val="both"/>
    </w:pPr>
    <w:rPr>
      <w:rFonts w:ascii="Calibri" w:hAnsi="Calibri" w:eastAsia="宋体" w:cs="Times New Roman"/>
      <w:sz w:val="21"/>
      <w:lang w:val="en-US" w:eastAsia="zh-CN" w:bidi="ar-SA"/>
    </w:rPr>
  </w:style>
  <w:style w:type="paragraph" w:customStyle="1" w:styleId="394">
    <w:name w:val="xl99"/>
    <w:basedOn w:val="1"/>
    <w:next w:val="379"/>
    <w:qFormat/>
    <w:uiPriority w:val="0"/>
    <w:pPr>
      <w:widowControl/>
      <w:shd w:val="clear" w:color="000000" w:fill="FFFFFF"/>
      <w:spacing w:before="280" w:after="280"/>
    </w:pPr>
    <w:rPr>
      <w:rFonts w:ascii="宋体" w:hAnsi="Calibri"/>
      <w:kern w:val="0"/>
      <w:sz w:val="18"/>
      <w:szCs w:val="20"/>
    </w:rPr>
  </w:style>
  <w:style w:type="paragraph" w:customStyle="1" w:styleId="395">
    <w:name w:val="xl97"/>
    <w:basedOn w:val="1"/>
    <w:next w:val="267"/>
    <w:qFormat/>
    <w:uiPriority w:val="0"/>
    <w:pPr>
      <w:widowControl/>
      <w:shd w:val="clear" w:color="000000" w:fill="FFFFFF"/>
      <w:spacing w:before="280" w:after="280"/>
      <w:jc w:val="center"/>
    </w:pPr>
    <w:rPr>
      <w:rFonts w:ascii="宋体" w:hAnsi="Calibri"/>
      <w:kern w:val="0"/>
      <w:sz w:val="20"/>
      <w:szCs w:val="20"/>
    </w:rPr>
  </w:style>
  <w:style w:type="paragraph" w:customStyle="1" w:styleId="396">
    <w:name w:val="toc 612"/>
    <w:next w:val="1"/>
    <w:qFormat/>
    <w:uiPriority w:val="0"/>
    <w:pPr>
      <w:wordWrap w:val="0"/>
      <w:ind w:left="2125"/>
      <w:jc w:val="both"/>
    </w:pPr>
    <w:rPr>
      <w:rFonts w:ascii="Calibri" w:hAnsi="Calibri" w:eastAsia="宋体" w:cs="Times New Roman"/>
      <w:sz w:val="21"/>
      <w:lang w:val="en-US" w:eastAsia="zh-CN" w:bidi="ar-SA"/>
    </w:rPr>
  </w:style>
  <w:style w:type="paragraph" w:customStyle="1" w:styleId="397">
    <w:name w:val="toc 315"/>
    <w:next w:val="1"/>
    <w:qFormat/>
    <w:uiPriority w:val="0"/>
    <w:pPr>
      <w:wordWrap w:val="0"/>
      <w:ind w:left="850"/>
      <w:jc w:val="both"/>
    </w:pPr>
    <w:rPr>
      <w:rFonts w:ascii="Calibri" w:hAnsi="Calibri" w:eastAsia="宋体" w:cs="Times New Roman"/>
      <w:sz w:val="21"/>
      <w:lang w:val="en-US" w:eastAsia="zh-CN" w:bidi="ar-SA"/>
    </w:rPr>
  </w:style>
  <w:style w:type="paragraph" w:customStyle="1" w:styleId="398">
    <w:name w:val="TOC Heading15"/>
    <w:next w:val="1"/>
    <w:qFormat/>
    <w:uiPriority w:val="0"/>
    <w:pPr>
      <w:wordWrap w:val="0"/>
    </w:pPr>
    <w:rPr>
      <w:rFonts w:ascii="Calibri" w:hAnsi="Calibri" w:eastAsia="宋体" w:cs="Times New Roman"/>
      <w:sz w:val="32"/>
      <w:lang w:val="en-US" w:eastAsia="zh-CN" w:bidi="ar-SA"/>
    </w:rPr>
  </w:style>
  <w:style w:type="paragraph" w:customStyle="1" w:styleId="399">
    <w:name w:val="toc 915"/>
    <w:next w:val="1"/>
    <w:qFormat/>
    <w:uiPriority w:val="0"/>
    <w:pPr>
      <w:wordWrap w:val="0"/>
      <w:ind w:left="3400"/>
      <w:jc w:val="both"/>
    </w:pPr>
    <w:rPr>
      <w:rFonts w:ascii="Calibri" w:hAnsi="Calibri" w:eastAsia="宋体" w:cs="Times New Roman"/>
      <w:sz w:val="21"/>
      <w:lang w:val="en-US" w:eastAsia="zh-CN" w:bidi="ar-SA"/>
    </w:rPr>
  </w:style>
  <w:style w:type="paragraph" w:customStyle="1" w:styleId="400">
    <w:name w:val="toc 39"/>
    <w:next w:val="1"/>
    <w:qFormat/>
    <w:uiPriority w:val="0"/>
    <w:pPr>
      <w:wordWrap w:val="0"/>
      <w:ind w:left="850"/>
      <w:jc w:val="both"/>
    </w:pPr>
    <w:rPr>
      <w:rFonts w:ascii="Calibri" w:hAnsi="Calibri" w:eastAsia="宋体" w:cs="Times New Roman"/>
      <w:sz w:val="21"/>
      <w:lang w:val="en-US" w:eastAsia="zh-CN" w:bidi="ar-SA"/>
    </w:rPr>
  </w:style>
  <w:style w:type="paragraph" w:customStyle="1" w:styleId="401">
    <w:name w:val="toc 710"/>
    <w:next w:val="1"/>
    <w:qFormat/>
    <w:uiPriority w:val="0"/>
    <w:pPr>
      <w:wordWrap w:val="0"/>
      <w:ind w:left="2550"/>
      <w:jc w:val="both"/>
    </w:pPr>
    <w:rPr>
      <w:rFonts w:ascii="Calibri" w:hAnsi="Calibri" w:eastAsia="宋体" w:cs="Times New Roman"/>
      <w:sz w:val="21"/>
      <w:lang w:val="en-US" w:eastAsia="zh-CN" w:bidi="ar-SA"/>
    </w:rPr>
  </w:style>
  <w:style w:type="paragraph" w:customStyle="1" w:styleId="402">
    <w:name w:val="toc 12"/>
    <w:next w:val="1"/>
    <w:qFormat/>
    <w:uiPriority w:val="0"/>
    <w:pPr>
      <w:wordWrap w:val="0"/>
      <w:jc w:val="both"/>
    </w:pPr>
    <w:rPr>
      <w:rFonts w:ascii="Calibri" w:hAnsi="Calibri" w:eastAsia="宋体" w:cs="Times New Roman"/>
      <w:sz w:val="21"/>
      <w:lang w:val="en-US" w:eastAsia="zh-CN" w:bidi="ar-SA"/>
    </w:rPr>
  </w:style>
  <w:style w:type="paragraph" w:customStyle="1" w:styleId="403">
    <w:name w:val="xl95"/>
    <w:basedOn w:val="1"/>
    <w:next w:val="404"/>
    <w:qFormat/>
    <w:uiPriority w:val="0"/>
    <w:pPr>
      <w:widowControl/>
      <w:shd w:val="clear" w:color="000000" w:fill="FFFFFF"/>
      <w:spacing w:before="280" w:after="280"/>
    </w:pPr>
    <w:rPr>
      <w:rFonts w:ascii="宋体" w:hAnsi="Calibri"/>
      <w:kern w:val="0"/>
      <w:sz w:val="20"/>
      <w:szCs w:val="20"/>
    </w:rPr>
  </w:style>
  <w:style w:type="paragraph" w:customStyle="1" w:styleId="404">
    <w:name w:val="toc 415"/>
    <w:next w:val="1"/>
    <w:qFormat/>
    <w:uiPriority w:val="0"/>
    <w:pPr>
      <w:wordWrap w:val="0"/>
      <w:ind w:left="1275"/>
      <w:jc w:val="both"/>
    </w:pPr>
    <w:rPr>
      <w:rFonts w:ascii="Calibri" w:hAnsi="Calibri" w:eastAsia="宋体" w:cs="Times New Roman"/>
      <w:sz w:val="21"/>
      <w:lang w:val="en-US" w:eastAsia="zh-CN" w:bidi="ar-SA"/>
    </w:rPr>
  </w:style>
  <w:style w:type="paragraph" w:customStyle="1" w:styleId="405">
    <w:name w:val="toc 29"/>
    <w:next w:val="1"/>
    <w:qFormat/>
    <w:uiPriority w:val="0"/>
    <w:pPr>
      <w:wordWrap w:val="0"/>
      <w:ind w:left="425"/>
      <w:jc w:val="both"/>
    </w:pPr>
    <w:rPr>
      <w:rFonts w:ascii="Calibri" w:hAnsi="Calibri" w:eastAsia="宋体" w:cs="Times New Roman"/>
      <w:sz w:val="21"/>
      <w:lang w:val="en-US" w:eastAsia="zh-CN" w:bidi="ar-SA"/>
    </w:rPr>
  </w:style>
  <w:style w:type="paragraph" w:customStyle="1" w:styleId="406">
    <w:name w:val="xl67"/>
    <w:basedOn w:val="1"/>
    <w:next w:val="407"/>
    <w:qFormat/>
    <w:uiPriority w:val="0"/>
    <w:pPr>
      <w:widowControl/>
      <w:shd w:val="clear" w:color="000000" w:fill="FFFFFF"/>
      <w:spacing w:before="280" w:after="280"/>
      <w:jc w:val="center"/>
    </w:pPr>
    <w:rPr>
      <w:rFonts w:ascii="宋体" w:hAnsi="Calibri"/>
      <w:b/>
      <w:kern w:val="0"/>
      <w:sz w:val="20"/>
      <w:szCs w:val="20"/>
    </w:rPr>
  </w:style>
  <w:style w:type="paragraph" w:customStyle="1" w:styleId="407">
    <w:name w:val="toc 714"/>
    <w:next w:val="1"/>
    <w:qFormat/>
    <w:uiPriority w:val="0"/>
    <w:pPr>
      <w:wordWrap w:val="0"/>
      <w:ind w:left="2550"/>
      <w:jc w:val="both"/>
    </w:pPr>
    <w:rPr>
      <w:rFonts w:ascii="Calibri" w:hAnsi="Calibri" w:eastAsia="宋体" w:cs="Times New Roman"/>
      <w:sz w:val="21"/>
      <w:lang w:val="en-US" w:eastAsia="zh-CN" w:bidi="ar-SA"/>
    </w:rPr>
  </w:style>
  <w:style w:type="paragraph" w:customStyle="1" w:styleId="408">
    <w:name w:val="toc 21"/>
    <w:next w:val="1"/>
    <w:qFormat/>
    <w:uiPriority w:val="0"/>
    <w:pPr>
      <w:wordWrap w:val="0"/>
      <w:ind w:left="425"/>
      <w:jc w:val="both"/>
    </w:pPr>
    <w:rPr>
      <w:rFonts w:ascii="Calibri" w:hAnsi="Calibri" w:eastAsia="宋体" w:cs="Times New Roman"/>
      <w:sz w:val="21"/>
      <w:lang w:val="en-US" w:eastAsia="zh-CN" w:bidi="ar-SA"/>
    </w:rPr>
  </w:style>
  <w:style w:type="paragraph" w:customStyle="1" w:styleId="409">
    <w:name w:val="正文 A"/>
    <w:next w:val="326"/>
    <w:qFormat/>
    <w:uiPriority w:val="0"/>
    <w:rPr>
      <w:rFonts w:ascii="Arial" w:hAnsi="Calibri" w:eastAsia="Arial Unicode MS" w:cs="Times New Roman"/>
      <w:color w:val="000000"/>
      <w:sz w:val="21"/>
      <w:lang w:val="en-US" w:eastAsia="zh-CN" w:bidi="ar-SA"/>
    </w:rPr>
  </w:style>
  <w:style w:type="paragraph" w:customStyle="1" w:styleId="410">
    <w:name w:val="toc 68"/>
    <w:next w:val="1"/>
    <w:qFormat/>
    <w:uiPriority w:val="0"/>
    <w:pPr>
      <w:wordWrap w:val="0"/>
      <w:ind w:left="2125"/>
      <w:jc w:val="both"/>
    </w:pPr>
    <w:rPr>
      <w:rFonts w:ascii="Calibri" w:hAnsi="Calibri" w:eastAsia="宋体" w:cs="Times New Roman"/>
      <w:sz w:val="21"/>
      <w:lang w:val="en-US" w:eastAsia="zh-CN" w:bidi="ar-SA"/>
    </w:rPr>
  </w:style>
  <w:style w:type="paragraph" w:customStyle="1" w:styleId="411">
    <w:name w:val="toc 58"/>
    <w:next w:val="1"/>
    <w:qFormat/>
    <w:uiPriority w:val="0"/>
    <w:pPr>
      <w:wordWrap w:val="0"/>
      <w:ind w:left="1700"/>
      <w:jc w:val="both"/>
    </w:pPr>
    <w:rPr>
      <w:rFonts w:ascii="Calibri" w:hAnsi="Calibri" w:eastAsia="宋体" w:cs="Times New Roman"/>
      <w:sz w:val="21"/>
      <w:lang w:val="en-US" w:eastAsia="zh-CN" w:bidi="ar-SA"/>
    </w:rPr>
  </w:style>
  <w:style w:type="paragraph" w:customStyle="1" w:styleId="412">
    <w:name w:val="xl88"/>
    <w:basedOn w:val="1"/>
    <w:next w:val="398"/>
    <w:qFormat/>
    <w:uiPriority w:val="0"/>
    <w:pPr>
      <w:widowControl/>
      <w:shd w:val="clear" w:color="000000" w:fill="FFFFFF"/>
      <w:spacing w:before="280" w:after="280"/>
      <w:jc w:val="center"/>
    </w:pPr>
    <w:rPr>
      <w:rFonts w:ascii="宋体" w:hAnsi="Calibri"/>
      <w:kern w:val="0"/>
      <w:sz w:val="20"/>
      <w:szCs w:val="20"/>
    </w:rPr>
  </w:style>
  <w:style w:type="paragraph" w:customStyle="1" w:styleId="413">
    <w:name w:val="toc 71"/>
    <w:next w:val="1"/>
    <w:qFormat/>
    <w:uiPriority w:val="0"/>
    <w:pPr>
      <w:wordWrap w:val="0"/>
      <w:ind w:left="2550"/>
      <w:jc w:val="both"/>
    </w:pPr>
    <w:rPr>
      <w:rFonts w:ascii="Calibri" w:hAnsi="Calibri" w:eastAsia="宋体" w:cs="Times New Roman"/>
      <w:sz w:val="21"/>
      <w:lang w:val="en-US" w:eastAsia="zh-CN" w:bidi="ar-SA"/>
    </w:rPr>
  </w:style>
  <w:style w:type="paragraph" w:customStyle="1" w:styleId="414">
    <w:name w:val="xl100"/>
    <w:basedOn w:val="1"/>
    <w:next w:val="415"/>
    <w:qFormat/>
    <w:uiPriority w:val="0"/>
    <w:pPr>
      <w:widowControl/>
      <w:shd w:val="clear" w:color="000000" w:fill="FFFFFF"/>
      <w:spacing w:before="280" w:after="280"/>
    </w:pPr>
    <w:rPr>
      <w:rFonts w:ascii="宋体" w:hAnsi="Calibri"/>
      <w:kern w:val="0"/>
      <w:sz w:val="20"/>
      <w:szCs w:val="20"/>
    </w:rPr>
  </w:style>
  <w:style w:type="paragraph" w:customStyle="1" w:styleId="415">
    <w:name w:val="toc 510"/>
    <w:next w:val="1"/>
    <w:qFormat/>
    <w:uiPriority w:val="0"/>
    <w:pPr>
      <w:wordWrap w:val="0"/>
      <w:ind w:left="1700"/>
      <w:jc w:val="both"/>
    </w:pPr>
    <w:rPr>
      <w:rFonts w:ascii="Calibri" w:hAnsi="Calibri" w:eastAsia="宋体" w:cs="Times New Roman"/>
      <w:sz w:val="21"/>
      <w:lang w:val="en-US" w:eastAsia="zh-CN" w:bidi="ar-SA"/>
    </w:rPr>
  </w:style>
  <w:style w:type="paragraph" w:customStyle="1" w:styleId="416">
    <w:name w:val="toc 314"/>
    <w:next w:val="1"/>
    <w:qFormat/>
    <w:uiPriority w:val="0"/>
    <w:pPr>
      <w:wordWrap w:val="0"/>
      <w:ind w:left="850"/>
      <w:jc w:val="both"/>
    </w:pPr>
    <w:rPr>
      <w:rFonts w:ascii="Calibri" w:hAnsi="Calibri" w:eastAsia="宋体" w:cs="Times New Roman"/>
      <w:sz w:val="21"/>
      <w:lang w:val="en-US" w:eastAsia="zh-CN" w:bidi="ar-SA"/>
    </w:rPr>
  </w:style>
  <w:style w:type="paragraph" w:customStyle="1" w:styleId="417">
    <w:name w:val="xl114"/>
    <w:basedOn w:val="1"/>
    <w:next w:val="269"/>
    <w:qFormat/>
    <w:uiPriority w:val="0"/>
    <w:pPr>
      <w:widowControl/>
      <w:shd w:val="clear" w:color="000000" w:fill="FFFFFF"/>
      <w:spacing w:before="280" w:after="280"/>
      <w:jc w:val="center"/>
    </w:pPr>
    <w:rPr>
      <w:rFonts w:ascii="宋体" w:hAnsi="Calibri"/>
      <w:b/>
      <w:kern w:val="0"/>
      <w:sz w:val="20"/>
      <w:szCs w:val="20"/>
    </w:rPr>
  </w:style>
  <w:style w:type="paragraph" w:customStyle="1" w:styleId="418">
    <w:name w:val="xl107"/>
    <w:basedOn w:val="1"/>
    <w:next w:val="419"/>
    <w:qFormat/>
    <w:uiPriority w:val="0"/>
    <w:pPr>
      <w:widowControl/>
      <w:shd w:val="clear" w:color="000000" w:fill="FFFFFF"/>
      <w:spacing w:before="280" w:after="280"/>
    </w:pPr>
    <w:rPr>
      <w:rFonts w:ascii="宋体" w:hAnsi="Calibri"/>
      <w:kern w:val="0"/>
      <w:sz w:val="20"/>
      <w:szCs w:val="20"/>
    </w:rPr>
  </w:style>
  <w:style w:type="paragraph" w:customStyle="1" w:styleId="419">
    <w:name w:val="toc 610"/>
    <w:next w:val="1"/>
    <w:qFormat/>
    <w:uiPriority w:val="0"/>
    <w:pPr>
      <w:wordWrap w:val="0"/>
      <w:ind w:left="2125"/>
      <w:jc w:val="both"/>
    </w:pPr>
    <w:rPr>
      <w:rFonts w:ascii="Calibri" w:hAnsi="Calibri" w:eastAsia="宋体" w:cs="Times New Roman"/>
      <w:sz w:val="21"/>
      <w:lang w:val="en-US" w:eastAsia="zh-CN" w:bidi="ar-SA"/>
    </w:rPr>
  </w:style>
  <w:style w:type="paragraph" w:customStyle="1" w:styleId="420">
    <w:name w:val="toc 22"/>
    <w:next w:val="1"/>
    <w:qFormat/>
    <w:uiPriority w:val="0"/>
    <w:pPr>
      <w:wordWrap w:val="0"/>
      <w:ind w:left="425"/>
      <w:jc w:val="both"/>
    </w:pPr>
    <w:rPr>
      <w:rFonts w:ascii="Calibri" w:hAnsi="Calibri" w:eastAsia="宋体" w:cs="Times New Roman"/>
      <w:sz w:val="21"/>
      <w:lang w:val="en-US" w:eastAsia="zh-CN" w:bidi="ar-SA"/>
    </w:rPr>
  </w:style>
  <w:style w:type="paragraph" w:customStyle="1" w:styleId="421">
    <w:name w:val="xl90"/>
    <w:basedOn w:val="1"/>
    <w:next w:val="223"/>
    <w:qFormat/>
    <w:uiPriority w:val="0"/>
    <w:pPr>
      <w:widowControl/>
      <w:shd w:val="clear" w:color="000000" w:fill="FFFFFF"/>
      <w:spacing w:before="280" w:after="280"/>
    </w:pPr>
    <w:rPr>
      <w:rFonts w:ascii="宋体" w:hAnsi="Calibri"/>
      <w:kern w:val="0"/>
      <w:sz w:val="18"/>
      <w:szCs w:val="20"/>
    </w:rPr>
  </w:style>
  <w:style w:type="paragraph" w:customStyle="1" w:styleId="422">
    <w:name w:val="toc 616"/>
    <w:next w:val="1"/>
    <w:qFormat/>
    <w:uiPriority w:val="0"/>
    <w:pPr>
      <w:wordWrap w:val="0"/>
      <w:ind w:left="2125"/>
      <w:jc w:val="both"/>
    </w:pPr>
    <w:rPr>
      <w:rFonts w:ascii="Calibri" w:hAnsi="Calibri" w:eastAsia="宋体" w:cs="Times New Roman"/>
      <w:sz w:val="21"/>
      <w:lang w:val="en-US" w:eastAsia="zh-CN" w:bidi="ar-SA"/>
    </w:rPr>
  </w:style>
  <w:style w:type="paragraph" w:customStyle="1" w:styleId="423">
    <w:name w:val="toc 96"/>
    <w:next w:val="1"/>
    <w:qFormat/>
    <w:uiPriority w:val="0"/>
    <w:pPr>
      <w:wordWrap w:val="0"/>
      <w:ind w:left="3400"/>
      <w:jc w:val="both"/>
    </w:pPr>
    <w:rPr>
      <w:rFonts w:ascii="Calibri" w:hAnsi="Calibri" w:eastAsia="宋体" w:cs="Times New Roman"/>
      <w:sz w:val="21"/>
      <w:lang w:val="en-US" w:eastAsia="zh-CN" w:bidi="ar-SA"/>
    </w:rPr>
  </w:style>
  <w:style w:type="paragraph" w:customStyle="1" w:styleId="424">
    <w:name w:val="toc 42"/>
    <w:next w:val="1"/>
    <w:qFormat/>
    <w:uiPriority w:val="0"/>
    <w:pPr>
      <w:wordWrap w:val="0"/>
      <w:ind w:left="1275"/>
      <w:jc w:val="both"/>
    </w:pPr>
    <w:rPr>
      <w:rFonts w:ascii="Calibri" w:hAnsi="Calibri" w:eastAsia="宋体" w:cs="Times New Roman"/>
      <w:sz w:val="21"/>
      <w:lang w:val="en-US" w:eastAsia="zh-CN" w:bidi="ar-SA"/>
    </w:rPr>
  </w:style>
  <w:style w:type="paragraph" w:customStyle="1" w:styleId="425">
    <w:name w:val="xl117"/>
    <w:basedOn w:val="1"/>
    <w:next w:val="322"/>
    <w:qFormat/>
    <w:uiPriority w:val="0"/>
    <w:pPr>
      <w:widowControl/>
      <w:shd w:val="clear" w:color="000000" w:fill="FFFFFF"/>
      <w:spacing w:before="280" w:after="280"/>
      <w:jc w:val="center"/>
    </w:pPr>
    <w:rPr>
      <w:rFonts w:ascii="Arial Narrow" w:hAnsi="Calibri"/>
      <w:kern w:val="0"/>
      <w:sz w:val="24"/>
      <w:szCs w:val="20"/>
    </w:rPr>
  </w:style>
  <w:style w:type="paragraph" w:customStyle="1" w:styleId="426">
    <w:name w:val="p15"/>
    <w:basedOn w:val="1"/>
    <w:next w:val="247"/>
    <w:qFormat/>
    <w:uiPriority w:val="0"/>
    <w:pPr>
      <w:widowControl/>
      <w:ind w:firstLine="420"/>
    </w:pPr>
    <w:rPr>
      <w:rFonts w:hAnsi="Calibri"/>
      <w:kern w:val="0"/>
      <w:szCs w:val="20"/>
    </w:rPr>
  </w:style>
  <w:style w:type="paragraph" w:customStyle="1" w:styleId="427">
    <w:name w:val="xl87"/>
    <w:basedOn w:val="1"/>
    <w:next w:val="428"/>
    <w:qFormat/>
    <w:uiPriority w:val="0"/>
    <w:pPr>
      <w:widowControl/>
      <w:shd w:val="clear" w:color="000000" w:fill="FFFFFF"/>
      <w:spacing w:before="280" w:after="280"/>
    </w:pPr>
    <w:rPr>
      <w:rFonts w:ascii="Arial" w:hAnsi="Calibri"/>
      <w:kern w:val="0"/>
      <w:sz w:val="18"/>
      <w:szCs w:val="20"/>
    </w:rPr>
  </w:style>
  <w:style w:type="paragraph" w:customStyle="1" w:styleId="428">
    <w:name w:val="toc 98"/>
    <w:next w:val="1"/>
    <w:qFormat/>
    <w:uiPriority w:val="0"/>
    <w:pPr>
      <w:wordWrap w:val="0"/>
      <w:ind w:left="3400"/>
      <w:jc w:val="both"/>
    </w:pPr>
    <w:rPr>
      <w:rFonts w:ascii="Calibri" w:hAnsi="Calibri" w:eastAsia="宋体" w:cs="Times New Roman"/>
      <w:sz w:val="21"/>
      <w:lang w:val="en-US" w:eastAsia="zh-CN" w:bidi="ar-SA"/>
    </w:rPr>
  </w:style>
  <w:style w:type="paragraph" w:customStyle="1" w:styleId="429">
    <w:name w:val="列出段落7"/>
    <w:basedOn w:val="1"/>
    <w:next w:val="411"/>
    <w:qFormat/>
    <w:uiPriority w:val="0"/>
    <w:pPr>
      <w:ind w:firstLine="420"/>
    </w:pPr>
    <w:rPr>
      <w:rFonts w:hAnsi="Calibri"/>
      <w:kern w:val="0"/>
      <w:szCs w:val="20"/>
    </w:rPr>
  </w:style>
  <w:style w:type="paragraph" w:customStyle="1" w:styleId="430">
    <w:name w:val="xl78"/>
    <w:basedOn w:val="1"/>
    <w:next w:val="401"/>
    <w:qFormat/>
    <w:uiPriority w:val="0"/>
    <w:pPr>
      <w:widowControl/>
      <w:shd w:val="clear" w:color="000000" w:fill="FFFFFF"/>
      <w:spacing w:before="280" w:after="280"/>
    </w:pPr>
    <w:rPr>
      <w:rFonts w:ascii="宋体" w:hAnsi="Calibri"/>
      <w:b/>
      <w:kern w:val="0"/>
      <w:sz w:val="20"/>
      <w:szCs w:val="20"/>
    </w:rPr>
  </w:style>
  <w:style w:type="paragraph" w:customStyle="1" w:styleId="431">
    <w:name w:val="toc 516"/>
    <w:next w:val="1"/>
    <w:qFormat/>
    <w:uiPriority w:val="0"/>
    <w:pPr>
      <w:wordWrap w:val="0"/>
      <w:ind w:left="1700"/>
      <w:jc w:val="both"/>
    </w:pPr>
    <w:rPr>
      <w:rFonts w:ascii="Calibri" w:hAnsi="Calibri" w:eastAsia="宋体" w:cs="Times New Roman"/>
      <w:sz w:val="21"/>
      <w:lang w:val="en-US" w:eastAsia="zh-CN" w:bidi="ar-SA"/>
    </w:rPr>
  </w:style>
  <w:style w:type="paragraph" w:customStyle="1" w:styleId="432">
    <w:name w:val="xl89"/>
    <w:basedOn w:val="1"/>
    <w:next w:val="366"/>
    <w:qFormat/>
    <w:uiPriority w:val="0"/>
    <w:pPr>
      <w:widowControl/>
      <w:shd w:val="clear" w:color="000000" w:fill="FFFFFF"/>
      <w:spacing w:before="280" w:after="280"/>
    </w:pPr>
    <w:rPr>
      <w:rFonts w:ascii="宋体" w:hAnsi="Calibri"/>
      <w:kern w:val="0"/>
      <w:sz w:val="20"/>
      <w:szCs w:val="20"/>
    </w:rPr>
  </w:style>
  <w:style w:type="paragraph" w:customStyle="1" w:styleId="433">
    <w:name w:val="toc 910"/>
    <w:next w:val="1"/>
    <w:qFormat/>
    <w:uiPriority w:val="0"/>
    <w:pPr>
      <w:wordWrap w:val="0"/>
      <w:ind w:left="3400"/>
      <w:jc w:val="both"/>
    </w:pPr>
    <w:rPr>
      <w:rFonts w:ascii="Calibri" w:hAnsi="Calibri" w:eastAsia="宋体" w:cs="Times New Roman"/>
      <w:sz w:val="21"/>
      <w:lang w:val="en-US" w:eastAsia="zh-CN" w:bidi="ar-SA"/>
    </w:rPr>
  </w:style>
  <w:style w:type="paragraph" w:customStyle="1" w:styleId="434">
    <w:name w:val="toc 34"/>
    <w:next w:val="1"/>
    <w:qFormat/>
    <w:uiPriority w:val="0"/>
    <w:pPr>
      <w:wordWrap w:val="0"/>
      <w:ind w:left="850"/>
      <w:jc w:val="both"/>
    </w:pPr>
    <w:rPr>
      <w:rFonts w:ascii="Calibri" w:hAnsi="Calibri" w:eastAsia="宋体" w:cs="Times New Roman"/>
      <w:sz w:val="21"/>
      <w:lang w:val="en-US" w:eastAsia="zh-CN" w:bidi="ar-SA"/>
    </w:rPr>
  </w:style>
  <w:style w:type="paragraph" w:customStyle="1" w:styleId="435">
    <w:name w:val="toc 816"/>
    <w:next w:val="1"/>
    <w:qFormat/>
    <w:uiPriority w:val="0"/>
    <w:pPr>
      <w:wordWrap w:val="0"/>
      <w:ind w:left="2975"/>
      <w:jc w:val="both"/>
    </w:pPr>
    <w:rPr>
      <w:rFonts w:ascii="Calibri" w:hAnsi="Calibri" w:eastAsia="宋体" w:cs="Times New Roman"/>
      <w:sz w:val="21"/>
      <w:lang w:val="en-US" w:eastAsia="zh-CN" w:bidi="ar-SA"/>
    </w:rPr>
  </w:style>
  <w:style w:type="paragraph" w:customStyle="1" w:styleId="436">
    <w:name w:val="toc 43"/>
    <w:next w:val="1"/>
    <w:qFormat/>
    <w:uiPriority w:val="0"/>
    <w:pPr>
      <w:wordWrap w:val="0"/>
      <w:ind w:left="1275"/>
      <w:jc w:val="both"/>
    </w:pPr>
    <w:rPr>
      <w:rFonts w:ascii="Calibri" w:hAnsi="Calibri" w:eastAsia="宋体" w:cs="Times New Roman"/>
      <w:sz w:val="21"/>
      <w:lang w:val="en-US" w:eastAsia="zh-CN" w:bidi="ar-SA"/>
    </w:rPr>
  </w:style>
  <w:style w:type="paragraph" w:customStyle="1" w:styleId="437">
    <w:name w:val="toc 16"/>
    <w:next w:val="1"/>
    <w:qFormat/>
    <w:uiPriority w:val="0"/>
    <w:pPr>
      <w:wordWrap w:val="0"/>
      <w:jc w:val="both"/>
    </w:pPr>
    <w:rPr>
      <w:rFonts w:ascii="Calibri" w:hAnsi="Calibri" w:eastAsia="宋体" w:cs="Times New Roman"/>
      <w:sz w:val="21"/>
      <w:lang w:val="en-US" w:eastAsia="zh-CN" w:bidi="ar-SA"/>
    </w:rPr>
  </w:style>
  <w:style w:type="paragraph" w:styleId="438">
    <w:name w:val="Quote"/>
    <w:next w:val="1"/>
    <w:link w:val="439"/>
    <w:qFormat/>
    <w:uiPriority w:val="0"/>
    <w:pPr>
      <w:wordWrap w:val="0"/>
      <w:spacing w:before="200" w:after="160"/>
      <w:ind w:left="864" w:right="864"/>
      <w:jc w:val="center"/>
    </w:pPr>
    <w:rPr>
      <w:rFonts w:ascii="Calibri" w:hAnsi="Calibri" w:eastAsia="宋体" w:cs="Times New Roman"/>
      <w:i/>
      <w:sz w:val="21"/>
      <w:lang w:val="en-US" w:eastAsia="zh-CN" w:bidi="ar-SA"/>
    </w:rPr>
  </w:style>
  <w:style w:type="character" w:customStyle="1" w:styleId="439">
    <w:name w:val="引用 Char"/>
    <w:basedOn w:val="46"/>
    <w:link w:val="438"/>
    <w:qFormat/>
    <w:uiPriority w:val="0"/>
    <w:rPr>
      <w:rFonts w:ascii="Calibri" w:hAnsi="Calibri"/>
      <w:i/>
      <w:sz w:val="21"/>
    </w:rPr>
  </w:style>
  <w:style w:type="paragraph" w:customStyle="1" w:styleId="440">
    <w:name w:val="toc 114"/>
    <w:next w:val="1"/>
    <w:qFormat/>
    <w:uiPriority w:val="0"/>
    <w:pPr>
      <w:wordWrap w:val="0"/>
      <w:jc w:val="both"/>
    </w:pPr>
    <w:rPr>
      <w:rFonts w:ascii="Calibri" w:hAnsi="Calibri" w:eastAsia="宋体" w:cs="Times New Roman"/>
      <w:sz w:val="21"/>
      <w:lang w:val="en-US" w:eastAsia="zh-CN" w:bidi="ar-SA"/>
    </w:rPr>
  </w:style>
  <w:style w:type="paragraph" w:customStyle="1" w:styleId="441">
    <w:name w:val="xl119"/>
    <w:basedOn w:val="1"/>
    <w:next w:val="416"/>
    <w:qFormat/>
    <w:uiPriority w:val="0"/>
    <w:pPr>
      <w:widowControl/>
      <w:shd w:val="clear" w:color="000000" w:fill="FFFFFF"/>
      <w:spacing w:before="280" w:after="280"/>
      <w:jc w:val="center"/>
    </w:pPr>
    <w:rPr>
      <w:rFonts w:ascii="宋体" w:hAnsi="Calibri"/>
      <w:b/>
      <w:kern w:val="0"/>
      <w:sz w:val="20"/>
      <w:szCs w:val="20"/>
    </w:rPr>
  </w:style>
  <w:style w:type="paragraph" w:customStyle="1" w:styleId="442">
    <w:name w:val="toc 37"/>
    <w:next w:val="1"/>
    <w:qFormat/>
    <w:uiPriority w:val="0"/>
    <w:pPr>
      <w:wordWrap w:val="0"/>
      <w:ind w:left="850"/>
      <w:jc w:val="both"/>
    </w:pPr>
    <w:rPr>
      <w:rFonts w:ascii="Calibri" w:hAnsi="Calibri" w:eastAsia="宋体" w:cs="Times New Roman"/>
      <w:sz w:val="21"/>
      <w:lang w:val="en-US" w:eastAsia="zh-CN" w:bidi="ar-SA"/>
    </w:rPr>
  </w:style>
  <w:style w:type="paragraph" w:customStyle="1" w:styleId="443">
    <w:name w:val="xl109"/>
    <w:basedOn w:val="1"/>
    <w:next w:val="389"/>
    <w:qFormat/>
    <w:uiPriority w:val="0"/>
    <w:pPr>
      <w:widowControl/>
      <w:shd w:val="clear" w:color="000000" w:fill="FFFFFF"/>
      <w:spacing w:before="280" w:after="280"/>
    </w:pPr>
    <w:rPr>
      <w:rFonts w:ascii="宋体" w:hAnsi="Calibri"/>
      <w:kern w:val="0"/>
      <w:sz w:val="20"/>
      <w:szCs w:val="20"/>
    </w:rPr>
  </w:style>
  <w:style w:type="paragraph" w:customStyle="1" w:styleId="444">
    <w:name w:val="toc 215"/>
    <w:next w:val="1"/>
    <w:qFormat/>
    <w:uiPriority w:val="0"/>
    <w:pPr>
      <w:wordWrap w:val="0"/>
      <w:ind w:left="425"/>
      <w:jc w:val="both"/>
    </w:pPr>
    <w:rPr>
      <w:rFonts w:ascii="Calibri" w:hAnsi="Calibri" w:eastAsia="宋体" w:cs="Times New Roman"/>
      <w:sz w:val="21"/>
      <w:lang w:val="en-US" w:eastAsia="zh-CN" w:bidi="ar-SA"/>
    </w:rPr>
  </w:style>
  <w:style w:type="paragraph" w:customStyle="1" w:styleId="445">
    <w:name w:val="xl76"/>
    <w:basedOn w:val="1"/>
    <w:next w:val="397"/>
    <w:qFormat/>
    <w:uiPriority w:val="0"/>
    <w:pPr>
      <w:widowControl/>
      <w:shd w:val="clear" w:color="000000" w:fill="FFFFFF"/>
      <w:spacing w:before="280" w:after="280"/>
      <w:jc w:val="center"/>
    </w:pPr>
    <w:rPr>
      <w:rFonts w:ascii="宋体" w:hAnsi="Calibri"/>
      <w:b/>
      <w:kern w:val="0"/>
      <w:sz w:val="20"/>
      <w:szCs w:val="20"/>
    </w:rPr>
  </w:style>
  <w:style w:type="paragraph" w:customStyle="1" w:styleId="446">
    <w:name w:val="toc 92"/>
    <w:next w:val="1"/>
    <w:qFormat/>
    <w:uiPriority w:val="0"/>
    <w:pPr>
      <w:wordWrap w:val="0"/>
      <w:ind w:left="3400"/>
      <w:jc w:val="both"/>
    </w:pPr>
    <w:rPr>
      <w:rFonts w:ascii="Calibri" w:hAnsi="Calibri" w:eastAsia="宋体" w:cs="Times New Roman"/>
      <w:sz w:val="21"/>
      <w:lang w:val="en-US" w:eastAsia="zh-CN" w:bidi="ar-SA"/>
    </w:rPr>
  </w:style>
  <w:style w:type="paragraph" w:customStyle="1" w:styleId="447">
    <w:name w:val="toc 216"/>
    <w:next w:val="1"/>
    <w:qFormat/>
    <w:uiPriority w:val="0"/>
    <w:pPr>
      <w:wordWrap w:val="0"/>
      <w:ind w:left="425"/>
      <w:jc w:val="both"/>
    </w:pPr>
    <w:rPr>
      <w:rFonts w:ascii="Calibri" w:hAnsi="Calibri" w:eastAsia="宋体" w:cs="Times New Roman"/>
      <w:sz w:val="21"/>
      <w:lang w:val="en-US" w:eastAsia="zh-CN" w:bidi="ar-SA"/>
    </w:rPr>
  </w:style>
  <w:style w:type="paragraph" w:customStyle="1" w:styleId="448">
    <w:name w:val="xl70"/>
    <w:basedOn w:val="1"/>
    <w:next w:val="374"/>
    <w:qFormat/>
    <w:uiPriority w:val="0"/>
    <w:pPr>
      <w:widowControl/>
      <w:shd w:val="clear" w:color="000000" w:fill="FFFFFF"/>
      <w:spacing w:before="280" w:after="280"/>
    </w:pPr>
    <w:rPr>
      <w:rFonts w:ascii="宋体" w:hAnsi="Calibri"/>
      <w:kern w:val="0"/>
      <w:sz w:val="20"/>
      <w:szCs w:val="20"/>
    </w:rPr>
  </w:style>
  <w:style w:type="paragraph" w:customStyle="1" w:styleId="449">
    <w:name w:val="toc 33"/>
    <w:next w:val="1"/>
    <w:qFormat/>
    <w:uiPriority w:val="0"/>
    <w:pPr>
      <w:wordWrap w:val="0"/>
      <w:ind w:left="850"/>
      <w:jc w:val="both"/>
    </w:pPr>
    <w:rPr>
      <w:rFonts w:ascii="Calibri" w:hAnsi="Calibri" w:eastAsia="宋体" w:cs="Times New Roman"/>
      <w:sz w:val="21"/>
      <w:lang w:val="en-US" w:eastAsia="zh-CN" w:bidi="ar-SA"/>
    </w:rPr>
  </w:style>
  <w:style w:type="paragraph" w:customStyle="1" w:styleId="450">
    <w:name w:val="toc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51">
    <w:name w:val="xl98"/>
    <w:basedOn w:val="1"/>
    <w:next w:val="392"/>
    <w:qFormat/>
    <w:uiPriority w:val="0"/>
    <w:pPr>
      <w:widowControl/>
      <w:shd w:val="clear" w:color="000000" w:fill="FFFFFF"/>
      <w:spacing w:before="280" w:after="280"/>
      <w:jc w:val="center"/>
    </w:pPr>
    <w:rPr>
      <w:rFonts w:ascii="宋体" w:hAnsi="Calibri"/>
      <w:kern w:val="0"/>
      <w:sz w:val="20"/>
      <w:szCs w:val="20"/>
    </w:rPr>
  </w:style>
  <w:style w:type="paragraph" w:customStyle="1" w:styleId="452">
    <w:name w:val="toc 26"/>
    <w:next w:val="1"/>
    <w:qFormat/>
    <w:uiPriority w:val="0"/>
    <w:pPr>
      <w:wordWrap w:val="0"/>
      <w:ind w:left="425"/>
      <w:jc w:val="both"/>
    </w:pPr>
    <w:rPr>
      <w:rFonts w:ascii="Calibri" w:hAnsi="Calibri" w:eastAsia="宋体" w:cs="Times New Roman"/>
      <w:sz w:val="21"/>
      <w:lang w:val="en-US" w:eastAsia="zh-CN" w:bidi="ar-SA"/>
    </w:rPr>
  </w:style>
  <w:style w:type="paragraph" w:customStyle="1" w:styleId="453">
    <w:name w:val="toc 13"/>
    <w:next w:val="1"/>
    <w:qFormat/>
    <w:uiPriority w:val="0"/>
    <w:pPr>
      <w:wordWrap w:val="0"/>
      <w:jc w:val="both"/>
    </w:pPr>
    <w:rPr>
      <w:rFonts w:ascii="Calibri" w:hAnsi="Calibri" w:eastAsia="宋体" w:cs="Times New Roman"/>
      <w:sz w:val="21"/>
      <w:lang w:val="en-US" w:eastAsia="zh-CN" w:bidi="ar-SA"/>
    </w:rPr>
  </w:style>
  <w:style w:type="paragraph" w:customStyle="1" w:styleId="454">
    <w:name w:val="目录 51"/>
    <w:next w:val="1"/>
    <w:qFormat/>
    <w:uiPriority w:val="0"/>
    <w:pPr>
      <w:wordWrap w:val="0"/>
      <w:ind w:left="1700"/>
      <w:jc w:val="both"/>
    </w:pPr>
    <w:rPr>
      <w:rFonts w:ascii="Calibri" w:hAnsi="Calibri" w:eastAsia="宋体" w:cs="Times New Roman"/>
      <w:sz w:val="21"/>
      <w:lang w:val="en-US" w:eastAsia="zh-CN" w:bidi="ar-SA"/>
    </w:rPr>
  </w:style>
  <w:style w:type="paragraph" w:customStyle="1" w:styleId="455">
    <w:name w:val="xl101"/>
    <w:basedOn w:val="1"/>
    <w:next w:val="423"/>
    <w:qFormat/>
    <w:uiPriority w:val="0"/>
    <w:pPr>
      <w:widowControl/>
      <w:spacing w:before="280" w:after="280"/>
    </w:pPr>
    <w:rPr>
      <w:rFonts w:ascii="宋体" w:hAnsi="Calibri"/>
      <w:kern w:val="0"/>
      <w:sz w:val="20"/>
      <w:szCs w:val="20"/>
    </w:rPr>
  </w:style>
  <w:style w:type="paragraph" w:customStyle="1" w:styleId="456">
    <w:name w:val="toc 75"/>
    <w:next w:val="1"/>
    <w:qFormat/>
    <w:uiPriority w:val="0"/>
    <w:pPr>
      <w:wordWrap w:val="0"/>
      <w:ind w:left="2550"/>
      <w:jc w:val="both"/>
    </w:pPr>
    <w:rPr>
      <w:rFonts w:ascii="Calibri" w:hAnsi="Calibri" w:eastAsia="宋体" w:cs="Times New Roman"/>
      <w:sz w:val="21"/>
      <w:lang w:val="en-US" w:eastAsia="zh-CN" w:bidi="ar-SA"/>
    </w:rPr>
  </w:style>
  <w:style w:type="paragraph" w:customStyle="1" w:styleId="457">
    <w:name w:val="toc 715"/>
    <w:next w:val="1"/>
    <w:qFormat/>
    <w:uiPriority w:val="0"/>
    <w:pPr>
      <w:wordWrap w:val="0"/>
      <w:ind w:left="2550"/>
      <w:jc w:val="both"/>
    </w:pPr>
    <w:rPr>
      <w:rFonts w:ascii="Calibri" w:hAnsi="Calibri" w:eastAsia="宋体" w:cs="Times New Roman"/>
      <w:sz w:val="21"/>
      <w:lang w:val="en-US" w:eastAsia="zh-CN" w:bidi="ar-SA"/>
    </w:rPr>
  </w:style>
  <w:style w:type="paragraph" w:styleId="458">
    <w:name w:val="Intense Quote"/>
    <w:next w:val="1"/>
    <w:link w:val="459"/>
    <w:qFormat/>
    <w:uiPriority w:val="0"/>
    <w:pPr>
      <w:wordWrap w:val="0"/>
      <w:spacing w:before="360" w:after="360"/>
      <w:ind w:left="950" w:right="950"/>
      <w:jc w:val="center"/>
    </w:pPr>
    <w:rPr>
      <w:rFonts w:ascii="Calibri" w:hAnsi="Calibri" w:eastAsia="宋体" w:cs="Times New Roman"/>
      <w:i/>
      <w:sz w:val="21"/>
      <w:lang w:val="en-US" w:eastAsia="zh-CN" w:bidi="ar-SA"/>
    </w:rPr>
  </w:style>
  <w:style w:type="character" w:customStyle="1" w:styleId="459">
    <w:name w:val="明显引用 Char"/>
    <w:basedOn w:val="46"/>
    <w:link w:val="458"/>
    <w:qFormat/>
    <w:uiPriority w:val="0"/>
    <w:rPr>
      <w:rFonts w:ascii="Calibri" w:hAnsi="Calibri"/>
      <w:i/>
      <w:sz w:val="21"/>
    </w:rPr>
  </w:style>
  <w:style w:type="paragraph" w:customStyle="1" w:styleId="460">
    <w:name w:val="Char Char Char Char Char Char Char"/>
    <w:basedOn w:val="1"/>
    <w:next w:val="444"/>
    <w:qFormat/>
    <w:uiPriority w:val="0"/>
    <w:pPr>
      <w:widowControl/>
      <w:spacing w:after="160" w:line="240" w:lineRule="exact"/>
    </w:pPr>
    <w:rPr>
      <w:rFonts w:hAnsi="Calibri"/>
      <w:kern w:val="0"/>
      <w:szCs w:val="20"/>
    </w:rPr>
  </w:style>
  <w:style w:type="paragraph" w:customStyle="1" w:styleId="461">
    <w:name w:val="toc 23"/>
    <w:next w:val="1"/>
    <w:qFormat/>
    <w:uiPriority w:val="0"/>
    <w:pPr>
      <w:wordWrap w:val="0"/>
      <w:ind w:left="425"/>
      <w:jc w:val="both"/>
    </w:pPr>
    <w:rPr>
      <w:rFonts w:ascii="Calibri" w:hAnsi="Calibri" w:eastAsia="宋体" w:cs="Times New Roman"/>
      <w:sz w:val="21"/>
      <w:lang w:val="en-US" w:eastAsia="zh-CN" w:bidi="ar-SA"/>
    </w:rPr>
  </w:style>
  <w:style w:type="paragraph" w:customStyle="1" w:styleId="462">
    <w:name w:val="目录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63">
    <w:name w:val="toc 97"/>
    <w:next w:val="1"/>
    <w:qFormat/>
    <w:uiPriority w:val="0"/>
    <w:pPr>
      <w:wordWrap w:val="0"/>
      <w:ind w:left="3400"/>
      <w:jc w:val="both"/>
    </w:pPr>
    <w:rPr>
      <w:rFonts w:ascii="Calibri" w:hAnsi="Calibri" w:eastAsia="宋体" w:cs="Times New Roman"/>
      <w:sz w:val="21"/>
      <w:lang w:val="en-US" w:eastAsia="zh-CN" w:bidi="ar-SA"/>
    </w:rPr>
  </w:style>
  <w:style w:type="paragraph" w:customStyle="1" w:styleId="464">
    <w:name w:val="toc 74"/>
    <w:next w:val="1"/>
    <w:qFormat/>
    <w:uiPriority w:val="0"/>
    <w:pPr>
      <w:wordWrap w:val="0"/>
      <w:ind w:left="2550"/>
      <w:jc w:val="both"/>
    </w:pPr>
    <w:rPr>
      <w:rFonts w:ascii="Calibri" w:hAnsi="Calibri" w:eastAsia="宋体" w:cs="Times New Roman"/>
      <w:sz w:val="21"/>
      <w:lang w:val="en-US" w:eastAsia="zh-CN" w:bidi="ar-SA"/>
    </w:rPr>
  </w:style>
  <w:style w:type="paragraph" w:customStyle="1" w:styleId="465">
    <w:name w:val="xl64"/>
    <w:basedOn w:val="1"/>
    <w:next w:val="440"/>
    <w:uiPriority w:val="0"/>
    <w:pPr>
      <w:widowControl/>
      <w:shd w:val="clear" w:color="000000" w:fill="FFFFFF"/>
      <w:spacing w:before="280" w:after="280"/>
    </w:pPr>
    <w:rPr>
      <w:rFonts w:ascii="宋体" w:hAnsi="Calibri"/>
      <w:kern w:val="0"/>
      <w:sz w:val="20"/>
      <w:szCs w:val="20"/>
    </w:rPr>
  </w:style>
  <w:style w:type="paragraph" w:customStyle="1" w:styleId="466">
    <w:name w:val="xl82"/>
    <w:basedOn w:val="1"/>
    <w:next w:val="285"/>
    <w:qFormat/>
    <w:uiPriority w:val="0"/>
    <w:pPr>
      <w:widowControl/>
      <w:shd w:val="clear" w:color="000000" w:fill="FFFFFF"/>
      <w:spacing w:before="280" w:after="280"/>
    </w:pPr>
    <w:rPr>
      <w:rFonts w:ascii="宋体" w:hAnsi="Calibri"/>
      <w:kern w:val="0"/>
      <w:sz w:val="20"/>
      <w:szCs w:val="20"/>
    </w:rPr>
  </w:style>
  <w:style w:type="paragraph" w:customStyle="1" w:styleId="467">
    <w:name w:val="toc 32"/>
    <w:next w:val="1"/>
    <w:uiPriority w:val="0"/>
    <w:pPr>
      <w:wordWrap w:val="0"/>
      <w:ind w:left="850"/>
      <w:jc w:val="both"/>
    </w:pPr>
    <w:rPr>
      <w:rFonts w:ascii="Calibri" w:hAnsi="Calibri" w:eastAsia="宋体" w:cs="Times New Roman"/>
      <w:sz w:val="21"/>
      <w:lang w:val="en-US" w:eastAsia="zh-CN" w:bidi="ar-SA"/>
    </w:rPr>
  </w:style>
  <w:style w:type="paragraph" w:customStyle="1" w:styleId="468">
    <w:name w:val="xl77"/>
    <w:basedOn w:val="1"/>
    <w:next w:val="433"/>
    <w:qFormat/>
    <w:uiPriority w:val="0"/>
    <w:pPr>
      <w:widowControl/>
      <w:shd w:val="clear" w:color="000000" w:fill="FFFFFF"/>
      <w:spacing w:before="280" w:after="280"/>
      <w:jc w:val="center"/>
    </w:pPr>
    <w:rPr>
      <w:rFonts w:ascii="宋体" w:hAnsi="Calibri"/>
      <w:kern w:val="0"/>
      <w:sz w:val="20"/>
      <w:szCs w:val="20"/>
    </w:rPr>
  </w:style>
  <w:style w:type="character" w:customStyle="1" w:styleId="469">
    <w:name w:val="正文缩进 Char1"/>
    <w:qFormat/>
    <w:uiPriority w:val="0"/>
    <w:rPr>
      <w:rFonts w:eastAsia="宋体"/>
      <w:kern w:val="2"/>
      <w:sz w:val="21"/>
      <w:lang w:val="en-US" w:eastAsia="zh-CN" w:bidi="ar-SA"/>
    </w:rPr>
  </w:style>
  <w:style w:type="paragraph" w:customStyle="1" w:styleId="470">
    <w:name w:val="列表段落1"/>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B5280-2357-4EB6-965E-A999455410E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3737</Words>
  <Characters>21302</Characters>
  <Lines>177</Lines>
  <Paragraphs>49</Paragraphs>
  <TotalTime>17</TotalTime>
  <ScaleCrop>false</ScaleCrop>
  <LinksUpToDate>false</LinksUpToDate>
  <CharactersWithSpaces>24990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2021-07-23T01:44:00Z</dcterms:created>
  <dc:creator>thsware</dc:creator>
  <cp:lastModifiedBy>大白熊与小花花</cp:lastModifiedBy>
  <cp:lastPrinted>2018-11-06T09:21:00Z</cp:lastPrinted>
  <dcterms:modified xsi:type="dcterms:W3CDTF">2021-07-30T08:41:25Z</dcterms:modified>
  <dc:title>招  标　文　件</dc:title>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28F1D2F8F8B940EFA729C3F180CE4DF2</vt:lpwstr>
  </property>
</Properties>
</file>